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4179C" w14:textId="0B3E5FD0" w:rsidR="00317CF8" w:rsidRPr="00317CF8" w:rsidRDefault="001F1AD1">
      <w:pPr>
        <w:rPr>
          <w:b/>
          <w:sz w:val="28"/>
          <w:u w:val="single"/>
        </w:rPr>
      </w:pPr>
      <w:r>
        <w:rPr>
          <w:b/>
          <w:sz w:val="28"/>
          <w:u w:val="single"/>
        </w:rPr>
        <w:t>201</w:t>
      </w:r>
      <w:r w:rsidR="000A723A">
        <w:rPr>
          <w:b/>
          <w:sz w:val="28"/>
          <w:u w:val="single"/>
        </w:rPr>
        <w:t>8</w:t>
      </w:r>
      <w:r>
        <w:rPr>
          <w:b/>
          <w:sz w:val="28"/>
          <w:u w:val="single"/>
        </w:rPr>
        <w:t xml:space="preserve"> </w:t>
      </w:r>
      <w:r w:rsidR="001D2183">
        <w:rPr>
          <w:b/>
          <w:sz w:val="28"/>
          <w:u w:val="single"/>
        </w:rPr>
        <w:t>CVM E</w:t>
      </w:r>
      <w:r w:rsidR="003628CC">
        <w:rPr>
          <w:b/>
          <w:sz w:val="28"/>
          <w:u w:val="single"/>
        </w:rPr>
        <w:t xml:space="preserve">DUCATIONAL RESEARCH </w:t>
      </w:r>
      <w:r w:rsidR="00317CF8" w:rsidRPr="00317CF8">
        <w:rPr>
          <w:b/>
          <w:sz w:val="28"/>
          <w:u w:val="single"/>
        </w:rPr>
        <w:t xml:space="preserve">GRANT </w:t>
      </w:r>
      <w:r w:rsidR="003628CC">
        <w:rPr>
          <w:b/>
          <w:sz w:val="28"/>
          <w:u w:val="single"/>
        </w:rPr>
        <w:t xml:space="preserve">(ERG) INTRAMURAL </w:t>
      </w:r>
      <w:r w:rsidR="00317CF8" w:rsidRPr="00317CF8">
        <w:rPr>
          <w:b/>
          <w:sz w:val="28"/>
          <w:u w:val="single"/>
        </w:rPr>
        <w:t>PROGRAM</w:t>
      </w:r>
    </w:p>
    <w:p w14:paraId="040A8C13" w14:textId="39C6A573" w:rsidR="006A050E" w:rsidRDefault="00895AB8">
      <w:r w:rsidRPr="000C3CEE">
        <w:rPr>
          <w:b/>
          <w:sz w:val="24"/>
          <w:u w:val="single"/>
        </w:rPr>
        <w:t>GOAL</w:t>
      </w:r>
      <w:r w:rsidRPr="000C3CEE">
        <w:rPr>
          <w:b/>
          <w:sz w:val="24"/>
        </w:rPr>
        <w:t>:</w:t>
      </w:r>
      <w:r>
        <w:t xml:space="preserve"> The goal</w:t>
      </w:r>
      <w:r w:rsidR="00684FE4">
        <w:t>s of this program are</w:t>
      </w:r>
      <w:r>
        <w:t xml:space="preserve"> to </w:t>
      </w:r>
      <w:r w:rsidR="00846A56" w:rsidRPr="00846A56">
        <w:rPr>
          <w:b/>
        </w:rPr>
        <w:t>(</w:t>
      </w:r>
      <w:r w:rsidR="005D67EC" w:rsidRPr="00846A56">
        <w:rPr>
          <w:b/>
        </w:rPr>
        <w:t>1)</w:t>
      </w:r>
      <w:r w:rsidR="005D67EC">
        <w:t xml:space="preserve"> </w:t>
      </w:r>
      <w:r>
        <w:t>promote educational research in the WSU College of Veterinary Medicine</w:t>
      </w:r>
      <w:r w:rsidR="002E38C1">
        <w:t xml:space="preserve">, </w:t>
      </w:r>
      <w:r w:rsidR="00846A56" w:rsidRPr="00846A56">
        <w:rPr>
          <w:b/>
        </w:rPr>
        <w:t>(</w:t>
      </w:r>
      <w:r w:rsidR="005D67EC" w:rsidRPr="00846A56">
        <w:rPr>
          <w:b/>
        </w:rPr>
        <w:t>2)</w:t>
      </w:r>
      <w:r w:rsidR="005D67EC">
        <w:t xml:space="preserve"> </w:t>
      </w:r>
      <w:r w:rsidR="002E38C1">
        <w:t xml:space="preserve">foster innovation in the </w:t>
      </w:r>
      <w:r w:rsidR="00684FE4">
        <w:t xml:space="preserve">college’s </w:t>
      </w:r>
      <w:r w:rsidR="002E38C1">
        <w:t>DVM</w:t>
      </w:r>
      <w:r w:rsidR="007A3E03">
        <w:t xml:space="preserve">, </w:t>
      </w:r>
      <w:r w:rsidR="002E38C1">
        <w:t>undergraduate</w:t>
      </w:r>
      <w:r w:rsidR="007A3E03">
        <w:t xml:space="preserve">, </w:t>
      </w:r>
      <w:r w:rsidR="007A3E03" w:rsidRPr="00F26BA6">
        <w:t>and graduate</w:t>
      </w:r>
      <w:r w:rsidR="002E38C1">
        <w:t xml:space="preserve"> curricula,</w:t>
      </w:r>
      <w:r>
        <w:t xml:space="preserve"> and </w:t>
      </w:r>
      <w:r w:rsidR="00846A56" w:rsidRPr="00846A56">
        <w:rPr>
          <w:b/>
        </w:rPr>
        <w:t>(</w:t>
      </w:r>
      <w:r w:rsidR="005D67EC" w:rsidRPr="00846A56">
        <w:rPr>
          <w:b/>
        </w:rPr>
        <w:t>3)</w:t>
      </w:r>
      <w:r w:rsidR="005D67EC">
        <w:t xml:space="preserve"> </w:t>
      </w:r>
      <w:r w:rsidR="002E38C1" w:rsidRPr="000B1C20">
        <w:t xml:space="preserve">support </w:t>
      </w:r>
      <w:r w:rsidR="002E38C1" w:rsidRPr="00F26BA6">
        <w:t>teaching</w:t>
      </w:r>
      <w:r w:rsidR="00C06848" w:rsidRPr="00F26BA6">
        <w:t xml:space="preserve"> and learning</w:t>
      </w:r>
      <w:r w:rsidR="002E38C1" w:rsidRPr="000B1C20">
        <w:t>-focused scholarship</w:t>
      </w:r>
      <w:r>
        <w:t xml:space="preserve"> </w:t>
      </w:r>
      <w:r w:rsidR="002E38C1">
        <w:t>by</w:t>
      </w:r>
      <w:r>
        <w:t xml:space="preserve"> faculty involved in </w:t>
      </w:r>
      <w:r w:rsidR="002E38C1">
        <w:t>the educational missions of the CVM</w:t>
      </w:r>
      <w:r>
        <w:t>.</w:t>
      </w:r>
      <w:r w:rsidR="001F1AD1">
        <w:t xml:space="preserve">  </w:t>
      </w:r>
      <w:r w:rsidR="00E13A46">
        <w:t>A</w:t>
      </w:r>
      <w:r w:rsidR="001F1AD1">
        <w:t xml:space="preserve">dditional funds are </w:t>
      </w:r>
      <w:r w:rsidR="00E13A46">
        <w:t xml:space="preserve">also </w:t>
      </w:r>
      <w:r w:rsidR="001F1AD1">
        <w:t xml:space="preserve">available to foster collaborative </w:t>
      </w:r>
      <w:r w:rsidR="00846A56">
        <w:t xml:space="preserve">educational </w:t>
      </w:r>
      <w:r w:rsidR="001F1AD1">
        <w:t xml:space="preserve">research </w:t>
      </w:r>
      <w:r w:rsidR="00846A56">
        <w:t xml:space="preserve">between the CVM and </w:t>
      </w:r>
      <w:r w:rsidR="001F1AD1">
        <w:t>the WSU College of Education.</w:t>
      </w:r>
    </w:p>
    <w:p w14:paraId="23AC648F" w14:textId="77777777" w:rsidR="003A67D4" w:rsidRPr="00690BD2" w:rsidRDefault="00ED69C6" w:rsidP="00317CF8">
      <w:pPr>
        <w:ind w:left="720" w:hanging="360"/>
        <w:rPr>
          <w:b/>
          <w:sz w:val="26"/>
          <w:szCs w:val="26"/>
        </w:rPr>
      </w:pPr>
      <w:r w:rsidRPr="00690BD2">
        <w:rPr>
          <w:b/>
          <w:sz w:val="26"/>
          <w:szCs w:val="26"/>
          <w:u w:val="single"/>
        </w:rPr>
        <w:t>ERG P</w:t>
      </w:r>
      <w:r w:rsidR="004C706A" w:rsidRPr="00690BD2">
        <w:rPr>
          <w:b/>
          <w:sz w:val="26"/>
          <w:szCs w:val="26"/>
          <w:u w:val="single"/>
        </w:rPr>
        <w:t>rogram B</w:t>
      </w:r>
      <w:r w:rsidR="004C706A" w:rsidRPr="00690BD2">
        <w:rPr>
          <w:b/>
          <w:sz w:val="26"/>
          <w:szCs w:val="26"/>
        </w:rPr>
        <w:t xml:space="preserve">:  </w:t>
      </w:r>
      <w:r w:rsidR="00317CF8" w:rsidRPr="00690BD2">
        <w:rPr>
          <w:b/>
          <w:sz w:val="26"/>
          <w:szCs w:val="26"/>
        </w:rPr>
        <w:t>Experiments in Teaching Grants</w:t>
      </w:r>
      <w:r w:rsidR="003A67D4" w:rsidRPr="00690BD2">
        <w:rPr>
          <w:b/>
          <w:sz w:val="26"/>
          <w:szCs w:val="26"/>
        </w:rPr>
        <w:t xml:space="preserve"> </w:t>
      </w:r>
    </w:p>
    <w:p w14:paraId="279A8982" w14:textId="77777777" w:rsidR="00690BD2" w:rsidRPr="00690BD2" w:rsidRDefault="00690BD2" w:rsidP="00690BD2">
      <w:pPr>
        <w:ind w:left="720" w:hanging="360"/>
        <w:rPr>
          <w:sz w:val="20"/>
        </w:rPr>
      </w:pPr>
      <w:r w:rsidRPr="00690BD2">
        <w:rPr>
          <w:b/>
          <w:color w:val="FF0000"/>
          <w:sz w:val="24"/>
        </w:rPr>
        <w:t>Up to</w:t>
      </w:r>
      <w:r w:rsidR="00317CF8" w:rsidRPr="00690BD2">
        <w:rPr>
          <w:b/>
          <w:color w:val="FF0000"/>
          <w:sz w:val="24"/>
        </w:rPr>
        <w:t xml:space="preserve"> $</w:t>
      </w:r>
      <w:r w:rsidR="003A67D4" w:rsidRPr="00690BD2">
        <w:rPr>
          <w:b/>
          <w:color w:val="FF0000"/>
          <w:sz w:val="24"/>
        </w:rPr>
        <w:t>5</w:t>
      </w:r>
      <w:r w:rsidR="00317CF8" w:rsidRPr="00690BD2">
        <w:rPr>
          <w:b/>
          <w:color w:val="FF0000"/>
          <w:sz w:val="24"/>
        </w:rPr>
        <w:t xml:space="preserve">,000 </w:t>
      </w:r>
      <w:r w:rsidR="001D2183" w:rsidRPr="00690BD2">
        <w:rPr>
          <w:b/>
          <w:color w:val="FF0000"/>
          <w:sz w:val="24"/>
        </w:rPr>
        <w:t xml:space="preserve">per grant </w:t>
      </w:r>
      <w:r w:rsidR="003A67D4" w:rsidRPr="00690BD2">
        <w:rPr>
          <w:b/>
          <w:color w:val="FF0000"/>
          <w:sz w:val="24"/>
        </w:rPr>
        <w:t>annually</w:t>
      </w:r>
      <w:r w:rsidRPr="00690BD2">
        <w:rPr>
          <w:b/>
          <w:color w:val="FF0000"/>
          <w:sz w:val="24"/>
        </w:rPr>
        <w:t xml:space="preserve"> </w:t>
      </w:r>
      <w:r>
        <w:rPr>
          <w:b/>
          <w:sz w:val="24"/>
        </w:rPr>
        <w:t xml:space="preserve">* </w:t>
      </w:r>
      <w:r w:rsidR="00DB25AC">
        <w:rPr>
          <w:sz w:val="20"/>
        </w:rPr>
        <w:t xml:space="preserve">(note that the $ amount </w:t>
      </w:r>
      <w:r w:rsidRPr="00690BD2">
        <w:rPr>
          <w:sz w:val="20"/>
        </w:rPr>
        <w:t>increased</w:t>
      </w:r>
      <w:r w:rsidR="00DB25AC">
        <w:rPr>
          <w:sz w:val="20"/>
        </w:rPr>
        <w:t>,</w:t>
      </w:r>
      <w:r w:rsidRPr="00690BD2">
        <w:rPr>
          <w:sz w:val="20"/>
        </w:rPr>
        <w:t xml:space="preserve"> </w:t>
      </w:r>
      <w:r w:rsidR="00DB25AC">
        <w:rPr>
          <w:sz w:val="20"/>
        </w:rPr>
        <w:t>beginning in 2015</w:t>
      </w:r>
      <w:r w:rsidRPr="00690BD2">
        <w:rPr>
          <w:sz w:val="20"/>
        </w:rPr>
        <w:t>)</w:t>
      </w:r>
    </w:p>
    <w:p w14:paraId="6E9A059C" w14:textId="77777777" w:rsidR="003A67D4" w:rsidRPr="00690BD2" w:rsidRDefault="00690BD2" w:rsidP="00690BD2">
      <w:pPr>
        <w:ind w:left="1080" w:hanging="360"/>
      </w:pPr>
      <w:r>
        <w:rPr>
          <w:b/>
        </w:rPr>
        <w:t xml:space="preserve">* </w:t>
      </w:r>
      <w:r w:rsidR="003A67D4" w:rsidRPr="00690BD2">
        <w:rPr>
          <w:b/>
        </w:rPr>
        <w:t xml:space="preserve">COE incentive:  An additional </w:t>
      </w:r>
      <w:r w:rsidR="003A67D4" w:rsidRPr="00690BD2">
        <w:rPr>
          <w:b/>
          <w:color w:val="FF0000"/>
        </w:rPr>
        <w:t>$</w:t>
      </w:r>
      <w:r w:rsidR="001F1AD1">
        <w:rPr>
          <w:b/>
          <w:color w:val="FF0000"/>
        </w:rPr>
        <w:t>3</w:t>
      </w:r>
      <w:r w:rsidR="003A67D4" w:rsidRPr="00690BD2">
        <w:rPr>
          <w:b/>
          <w:color w:val="FF0000"/>
        </w:rPr>
        <w:t xml:space="preserve">,000 </w:t>
      </w:r>
      <w:r w:rsidR="003A67D4" w:rsidRPr="00690BD2">
        <w:rPr>
          <w:b/>
        </w:rPr>
        <w:t xml:space="preserve">is available for proposals that </w:t>
      </w:r>
      <w:r w:rsidRPr="00690BD2">
        <w:rPr>
          <w:b/>
        </w:rPr>
        <w:t>feature</w:t>
      </w:r>
      <w:r w:rsidR="003A67D4" w:rsidRPr="00690BD2">
        <w:rPr>
          <w:b/>
        </w:rPr>
        <w:t xml:space="preserve"> </w:t>
      </w:r>
      <w:r w:rsidRPr="00690BD2">
        <w:rPr>
          <w:b/>
        </w:rPr>
        <w:t xml:space="preserve">a </w:t>
      </w:r>
      <w:r w:rsidR="003A67D4" w:rsidRPr="00690BD2">
        <w:rPr>
          <w:b/>
        </w:rPr>
        <w:t>substantive collaboration</w:t>
      </w:r>
      <w:r w:rsidR="001F1AD1">
        <w:rPr>
          <w:b/>
        </w:rPr>
        <w:t xml:space="preserve"> with </w:t>
      </w:r>
      <w:r w:rsidR="003A67D4" w:rsidRPr="00690BD2">
        <w:rPr>
          <w:b/>
        </w:rPr>
        <w:t xml:space="preserve">faculty </w:t>
      </w:r>
      <w:r w:rsidRPr="00690BD2">
        <w:rPr>
          <w:b/>
        </w:rPr>
        <w:t>co-investigator</w:t>
      </w:r>
      <w:r w:rsidR="001F1AD1">
        <w:rPr>
          <w:b/>
        </w:rPr>
        <w:t>s</w:t>
      </w:r>
      <w:r w:rsidRPr="00690BD2">
        <w:rPr>
          <w:b/>
        </w:rPr>
        <w:t xml:space="preserve"> in the WSU College of Education.</w:t>
      </w:r>
      <w:r w:rsidR="001F1AD1">
        <w:rPr>
          <w:b/>
        </w:rPr>
        <w:t xml:space="preserve">  The funds may be sub-divided as needed but in general it is anticipated that at least 50% will be directed to the COE co-investigator.</w:t>
      </w:r>
    </w:p>
    <w:p w14:paraId="25D61328" w14:textId="19115D64" w:rsidR="00317CF8" w:rsidRDefault="00317CF8" w:rsidP="00317CF8">
      <w:pPr>
        <w:pStyle w:val="ListParagraph"/>
        <w:numPr>
          <w:ilvl w:val="0"/>
          <w:numId w:val="4"/>
        </w:numPr>
      </w:pPr>
      <w:r>
        <w:t xml:space="preserve">These grants are designed to </w:t>
      </w:r>
      <w:r w:rsidR="00846A56">
        <w:t>lead to</w:t>
      </w:r>
      <w:r>
        <w:t xml:space="preserve"> a peer-reviewed publication</w:t>
      </w:r>
      <w:r w:rsidR="00846A56">
        <w:t xml:space="preserve">.  </w:t>
      </w:r>
      <w:proofErr w:type="gramStart"/>
      <w:r w:rsidR="00846A56">
        <w:t>Ideally</w:t>
      </w:r>
      <w:proofErr w:type="gramEnd"/>
      <w:r w:rsidR="00846A56">
        <w:t xml:space="preserve"> a manuscript should be submitted for review within 1 year AFTER the grant completion date.</w:t>
      </w:r>
      <w:r>
        <w:t xml:space="preserve"> </w:t>
      </w:r>
    </w:p>
    <w:p w14:paraId="4A388A56" w14:textId="2C6AE449" w:rsidR="006806E8" w:rsidRDefault="006806E8" w:rsidP="00317CF8">
      <w:pPr>
        <w:pStyle w:val="ListParagraph"/>
        <w:numPr>
          <w:ilvl w:val="0"/>
          <w:numId w:val="4"/>
        </w:numPr>
      </w:pPr>
      <w:r>
        <w:t xml:space="preserve">For support of innovations in the DVM program, please also see the </w:t>
      </w:r>
      <w:hyperlink r:id="rId7" w:history="1">
        <w:r w:rsidRPr="006806E8">
          <w:rPr>
            <w:rStyle w:val="Hyperlink"/>
          </w:rPr>
          <w:t xml:space="preserve">Berger </w:t>
        </w:r>
        <w:proofErr w:type="spellStart"/>
        <w:r w:rsidRPr="006806E8">
          <w:rPr>
            <w:rStyle w:val="Hyperlink"/>
          </w:rPr>
          <w:t>Keatts</w:t>
        </w:r>
        <w:proofErr w:type="spellEnd"/>
        <w:r w:rsidRPr="006806E8">
          <w:rPr>
            <w:rStyle w:val="Hyperlink"/>
          </w:rPr>
          <w:t xml:space="preserve"> Experiments in Teaching Seed Grants program</w:t>
        </w:r>
      </w:hyperlink>
      <w:r>
        <w:t>.</w:t>
      </w:r>
    </w:p>
    <w:p w14:paraId="20A9A526" w14:textId="77777777" w:rsidR="00317CF8" w:rsidRDefault="00545EA9" w:rsidP="00317CF8">
      <w:pPr>
        <w:pStyle w:val="ListParagraph"/>
        <w:numPr>
          <w:ilvl w:val="0"/>
          <w:numId w:val="4"/>
        </w:numPr>
      </w:pPr>
      <w:r>
        <w:t>R</w:t>
      </w:r>
      <w:r w:rsidR="00317CF8">
        <w:t xml:space="preserve">enewable </w:t>
      </w:r>
      <w:r w:rsidR="005D67EC">
        <w:t xml:space="preserve">twice, </w:t>
      </w:r>
      <w:r w:rsidR="00317CF8">
        <w:t>for up to 3 years total</w:t>
      </w:r>
      <w:r>
        <w:t xml:space="preserve"> support</w:t>
      </w:r>
      <w:r w:rsidR="008F43D2">
        <w:t xml:space="preserve"> -</w:t>
      </w:r>
      <w:r w:rsidR="00317CF8">
        <w:t xml:space="preserve"> </w:t>
      </w:r>
      <w:r w:rsidR="001D2183">
        <w:t>with the expectations</w:t>
      </w:r>
      <w:r w:rsidR="00ED69C6">
        <w:t xml:space="preserve"> outlined below. </w:t>
      </w:r>
      <w:r w:rsidR="00684FE4">
        <w:t xml:space="preserve"> </w:t>
      </w:r>
      <w:r w:rsidR="001D2183">
        <w:t xml:space="preserve"> </w:t>
      </w:r>
      <w:r w:rsidR="00ED69C6">
        <w:t xml:space="preserve">This </w:t>
      </w:r>
      <w:r w:rsidR="008F43D2">
        <w:t xml:space="preserve">multi-year </w:t>
      </w:r>
      <w:r w:rsidR="00ED69C6">
        <w:t xml:space="preserve">option is designed </w:t>
      </w:r>
      <w:r w:rsidR="001D2183">
        <w:t>to</w:t>
      </w:r>
      <w:r w:rsidR="00317CF8">
        <w:t xml:space="preserve"> encourage and support publication of </w:t>
      </w:r>
      <w:r w:rsidR="001D2183">
        <w:t xml:space="preserve">high impact </w:t>
      </w:r>
      <w:r w:rsidR="00317CF8">
        <w:t>scholarly works that en</w:t>
      </w:r>
      <w:r w:rsidR="001D2183">
        <w:t>compass multiple years of data</w:t>
      </w:r>
      <w:r w:rsidR="00F260E4">
        <w:t xml:space="preserve">.  In other words, we want to foster studies that will report repeated outcomes (across multiple semesters and /or years), </w:t>
      </w:r>
      <w:r w:rsidR="00317CF8">
        <w:t>rather than the results of</w:t>
      </w:r>
      <w:r w:rsidR="00F26BA6">
        <w:t xml:space="preserve"> </w:t>
      </w:r>
      <w:r w:rsidR="00317CF8">
        <w:t>one-time experiment</w:t>
      </w:r>
      <w:r w:rsidR="00F260E4">
        <w:t>s</w:t>
      </w:r>
      <w:r w:rsidR="00317CF8">
        <w:t>.</w:t>
      </w:r>
    </w:p>
    <w:p w14:paraId="27315E73" w14:textId="77777777" w:rsidR="00317CF8" w:rsidRDefault="00317CF8" w:rsidP="00317CF8">
      <w:pPr>
        <w:pStyle w:val="ListParagraph"/>
        <w:numPr>
          <w:ilvl w:val="0"/>
          <w:numId w:val="4"/>
        </w:numPr>
      </w:pPr>
      <w:r>
        <w:t>Renewal require</w:t>
      </w:r>
      <w:r w:rsidR="001D2183">
        <w:t xml:space="preserve">s submission of a renewal </w:t>
      </w:r>
      <w:r>
        <w:t xml:space="preserve">proposal each year. The </w:t>
      </w:r>
      <w:r w:rsidR="001D2183">
        <w:t xml:space="preserve">renewal </w:t>
      </w:r>
      <w:r>
        <w:t>proposal will include:</w:t>
      </w:r>
    </w:p>
    <w:p w14:paraId="2C012BBC" w14:textId="77777777" w:rsidR="00241663" w:rsidRDefault="007B74C9" w:rsidP="007B74C9">
      <w:pPr>
        <w:pStyle w:val="ListParagraph"/>
        <w:numPr>
          <w:ilvl w:val="1"/>
          <w:numId w:val="4"/>
        </w:numPr>
      </w:pPr>
      <w:r>
        <w:t xml:space="preserve">A Progress Report that </w:t>
      </w:r>
      <w:r w:rsidR="009407DC">
        <w:t>details</w:t>
      </w:r>
      <w:r w:rsidR="00545EA9">
        <w:t xml:space="preserve"> </w:t>
      </w:r>
      <w:r w:rsidR="00684FE4">
        <w:t xml:space="preserve">progress </w:t>
      </w:r>
      <w:r w:rsidR="00ED69C6">
        <w:t>to date, delineates</w:t>
      </w:r>
      <w:r w:rsidR="005D67EC">
        <w:t xml:space="preserve"> expected progress for the remainder of the grant funding period, </w:t>
      </w:r>
      <w:r w:rsidR="00684FE4">
        <w:t>addresses any problems</w:t>
      </w:r>
      <w:r w:rsidR="005D67EC">
        <w:t xml:space="preserve"> that may have arisen</w:t>
      </w:r>
      <w:r w:rsidR="00684FE4">
        <w:t>,</w:t>
      </w:r>
      <w:r>
        <w:t xml:space="preserve"> and discusses a</w:t>
      </w:r>
      <w:r w:rsidR="00241663">
        <w:t>ny proposed changes in experimental design</w:t>
      </w:r>
      <w:r>
        <w:t>.</w:t>
      </w:r>
    </w:p>
    <w:p w14:paraId="43F7897D" w14:textId="77777777" w:rsidR="00317CF8" w:rsidRDefault="00317CF8" w:rsidP="00317CF8">
      <w:pPr>
        <w:pStyle w:val="ListParagraph"/>
        <w:numPr>
          <w:ilvl w:val="1"/>
          <w:numId w:val="4"/>
        </w:numPr>
      </w:pPr>
      <w:r>
        <w:t>A financial report that documents how p</w:t>
      </w:r>
      <w:r w:rsidR="001D2183">
        <w:t>re</w:t>
      </w:r>
      <w:r>
        <w:t>vious funds were used</w:t>
      </w:r>
      <w:r w:rsidR="007B74C9">
        <w:t>.</w:t>
      </w:r>
    </w:p>
    <w:p w14:paraId="0A62511D" w14:textId="77777777" w:rsidR="00317CF8" w:rsidRDefault="00317CF8" w:rsidP="00317CF8">
      <w:pPr>
        <w:pStyle w:val="ListParagraph"/>
        <w:numPr>
          <w:ilvl w:val="1"/>
          <w:numId w:val="4"/>
        </w:numPr>
      </w:pPr>
      <w:r>
        <w:t>A brief description of any associated scholarly presentations or posters</w:t>
      </w:r>
      <w:r w:rsidR="001D2183">
        <w:t xml:space="preserve"> in the past year</w:t>
      </w:r>
      <w:r>
        <w:t xml:space="preserve"> – whether presented locally </w:t>
      </w:r>
      <w:r w:rsidR="00684FE4">
        <w:t>(</w:t>
      </w:r>
      <w:r>
        <w:t>at WSU</w:t>
      </w:r>
      <w:r w:rsidR="00684FE4">
        <w:t>)</w:t>
      </w:r>
      <w:r>
        <w:t xml:space="preserve"> or externally</w:t>
      </w:r>
      <w:r w:rsidR="007B74C9">
        <w:t>.</w:t>
      </w:r>
    </w:p>
    <w:p w14:paraId="78CE6AB2" w14:textId="77777777" w:rsidR="00317CF8" w:rsidRDefault="00ED69C6" w:rsidP="00317CF8">
      <w:pPr>
        <w:pStyle w:val="ListParagraph"/>
        <w:numPr>
          <w:ilvl w:val="1"/>
          <w:numId w:val="4"/>
        </w:numPr>
      </w:pPr>
      <w:r>
        <w:t>Explicit p</w:t>
      </w:r>
      <w:r w:rsidR="00317CF8">
        <w:t>lans for a peer reviewed publication and/or submission of an extramural proposal.</w:t>
      </w:r>
    </w:p>
    <w:p w14:paraId="21E03277" w14:textId="77777777" w:rsidR="00317CF8" w:rsidRDefault="00317CF8" w:rsidP="00317CF8">
      <w:pPr>
        <w:pStyle w:val="ListParagraph"/>
        <w:numPr>
          <w:ilvl w:val="0"/>
          <w:numId w:val="4"/>
        </w:numPr>
      </w:pPr>
      <w:r>
        <w:t>Renewal also requires presentation during the previous year of the proposal and preliminary results to the CVM (e.g.</w:t>
      </w:r>
      <w:r w:rsidR="005D67EC">
        <w:t>,</w:t>
      </w:r>
      <w:r>
        <w:t xml:space="preserve"> through a</w:t>
      </w:r>
      <w:r w:rsidR="00684FE4">
        <w:t xml:space="preserve"> publicized</w:t>
      </w:r>
      <w:r>
        <w:t xml:space="preserve"> CVM Teaching Academy function)</w:t>
      </w:r>
    </w:p>
    <w:p w14:paraId="5A419111" w14:textId="0E4D8D54" w:rsidR="005C790A" w:rsidRDefault="00C06848" w:rsidP="00317CF8">
      <w:pPr>
        <w:pStyle w:val="ListParagraph"/>
        <w:numPr>
          <w:ilvl w:val="0"/>
          <w:numId w:val="4"/>
        </w:numPr>
      </w:pPr>
      <w:r w:rsidRPr="00F26BA6">
        <w:t xml:space="preserve">A significant goal of </w:t>
      </w:r>
      <w:r w:rsidR="008F43D2">
        <w:t>ERG Program B</w:t>
      </w:r>
      <w:r w:rsidR="002B36B7" w:rsidRPr="00F26BA6">
        <w:t xml:space="preserve"> is to </w:t>
      </w:r>
      <w:r w:rsidR="00EA6308" w:rsidRPr="00F26BA6">
        <w:t xml:space="preserve">increase the number of CVM faculty engaged in </w:t>
      </w:r>
      <w:r w:rsidR="002B36B7" w:rsidRPr="00F26BA6">
        <w:t>educational scholarship</w:t>
      </w:r>
      <w:r w:rsidR="00EA6308" w:rsidRPr="00F26BA6">
        <w:t>.  To ac</w:t>
      </w:r>
      <w:r w:rsidR="00EA6308" w:rsidRPr="00846A56">
        <w:t xml:space="preserve">hieve this goal, </w:t>
      </w:r>
      <w:r w:rsidR="002B36B7" w:rsidRPr="00846A56">
        <w:t xml:space="preserve">a relatively small amount of available funds </w:t>
      </w:r>
      <w:r w:rsidR="00EA6308" w:rsidRPr="00846A56">
        <w:t xml:space="preserve">need to be distributed </w:t>
      </w:r>
      <w:r w:rsidR="002B36B7" w:rsidRPr="00846A56">
        <w:t xml:space="preserve">equitably.  </w:t>
      </w:r>
      <w:r w:rsidR="0096109A" w:rsidRPr="00846A56">
        <w:t>Therefore (and because funds are limited), the review committee will look to fund multiple different CVM investigators/programs before funding any single investigator/program multiple times.</w:t>
      </w:r>
      <w:r w:rsidR="0096109A">
        <w:t xml:space="preserve">  </w:t>
      </w:r>
      <w:r w:rsidR="00EF0FC7">
        <w:t xml:space="preserve">  </w:t>
      </w:r>
      <w:r w:rsidR="00846A56" w:rsidRPr="00EF0FC7">
        <w:rPr>
          <w:i/>
          <w:color w:val="548DD4" w:themeColor="text2" w:themeTint="99"/>
          <w:sz w:val="20"/>
        </w:rPr>
        <w:t xml:space="preserve">For more, see </w:t>
      </w:r>
      <w:hyperlink w:anchor="EligibilityNote" w:history="1">
        <w:r w:rsidR="00846A56" w:rsidRPr="00EF0FC7">
          <w:rPr>
            <w:rStyle w:val="Hyperlink"/>
            <w:i/>
            <w:sz w:val="20"/>
            <w14:textFill>
              <w14:solidFill>
                <w14:srgbClr w14:val="0000FF">
                  <w14:lumMod w14:val="60000"/>
                  <w14:lumOff w14:val="40000"/>
                </w14:srgbClr>
              </w14:solidFill>
            </w14:textFill>
          </w:rPr>
          <w:t>eligibility NOTE on page 3</w:t>
        </w:r>
      </w:hyperlink>
      <w:r w:rsidR="00846A56" w:rsidRPr="00EF0FC7">
        <w:rPr>
          <w:i/>
          <w:color w:val="548DD4" w:themeColor="text2" w:themeTint="99"/>
          <w:sz w:val="20"/>
        </w:rPr>
        <w:t>.</w:t>
      </w:r>
    </w:p>
    <w:p w14:paraId="6C4BF9CC" w14:textId="72579EA3" w:rsidR="00A87FDB" w:rsidRPr="006806E8" w:rsidRDefault="002B36B7" w:rsidP="00DC5B33">
      <w:pPr>
        <w:pStyle w:val="ListParagraph"/>
        <w:numPr>
          <w:ilvl w:val="0"/>
          <w:numId w:val="4"/>
        </w:numPr>
        <w:rPr>
          <w:b/>
          <w:u w:val="single"/>
        </w:rPr>
      </w:pPr>
      <w:r w:rsidRPr="00F26BA6">
        <w:lastRenderedPageBreak/>
        <w:t>In exceptional circumstances, the review committee will consider proposals exceeding the maximum funding level described above.  However, the investigator must make a compelling case</w:t>
      </w:r>
      <w:r w:rsidR="007B74C9" w:rsidRPr="00F26BA6">
        <w:t xml:space="preserve"> (i.e., very effectively justify additional funds)</w:t>
      </w:r>
      <w:r w:rsidRPr="00F26BA6">
        <w:t>.</w:t>
      </w:r>
      <w:r w:rsidR="007B74C9" w:rsidRPr="00F26BA6">
        <w:t xml:space="preserve">  </w:t>
      </w:r>
      <w:r w:rsidR="00EA6308" w:rsidRPr="00F26BA6">
        <w:t xml:space="preserve">Please be aware that additional funding of any one proposal jeopardizes our ability to fund other investigators.  </w:t>
      </w:r>
      <w:r w:rsidRPr="00F26BA6">
        <w:t>A</w:t>
      </w:r>
      <w:r w:rsidR="00EA6308" w:rsidRPr="00F26BA6">
        <w:t>ccordingly, a</w:t>
      </w:r>
      <w:r w:rsidRPr="00F26BA6">
        <w:t xml:space="preserve">ny recommendation to fund a proposal at a higher level will depend both on the availability of funds in a given </w:t>
      </w:r>
      <w:r w:rsidR="009407DC" w:rsidRPr="00F26BA6">
        <w:t xml:space="preserve">cycle </w:t>
      </w:r>
      <w:r w:rsidRPr="00F26BA6">
        <w:t xml:space="preserve">and </w:t>
      </w:r>
      <w:r w:rsidR="009D5A6D" w:rsidRPr="00F26BA6">
        <w:t>on the number, quality, and potential impact</w:t>
      </w:r>
      <w:r w:rsidRPr="00F26BA6">
        <w:t xml:space="preserve"> of other proposals submitted.</w:t>
      </w:r>
      <w:r w:rsidR="00EA6308" w:rsidRPr="00F26BA6">
        <w:t xml:space="preserve">  The maximum funding for any one proposal is likely to be modified in the future</w:t>
      </w:r>
      <w:r w:rsidR="009B1B14" w:rsidRPr="00F26BA6">
        <w:t xml:space="preserve"> as the program matures, </w:t>
      </w:r>
      <w:r w:rsidR="00EA6308" w:rsidRPr="00F26BA6">
        <w:t xml:space="preserve">we learn from </w:t>
      </w:r>
      <w:proofErr w:type="gramStart"/>
      <w:r w:rsidR="00EA6308" w:rsidRPr="00F26BA6">
        <w:t>past experiences</w:t>
      </w:r>
      <w:proofErr w:type="gramEnd"/>
      <w:r w:rsidR="009B1B14" w:rsidRPr="00F26BA6">
        <w:t>, and additional funding sources are identified</w:t>
      </w:r>
      <w:r w:rsidR="00EA6308" w:rsidRPr="00F26BA6">
        <w:t>.</w:t>
      </w:r>
    </w:p>
    <w:p w14:paraId="39BB098F" w14:textId="77777777" w:rsidR="00D61218" w:rsidRPr="000C3CEE" w:rsidRDefault="00317CF8" w:rsidP="00317CF8">
      <w:pPr>
        <w:rPr>
          <w:b/>
          <w:sz w:val="24"/>
          <w:u w:val="single"/>
        </w:rPr>
      </w:pPr>
      <w:r w:rsidRPr="000C3CEE">
        <w:rPr>
          <w:b/>
          <w:sz w:val="24"/>
          <w:u w:val="single"/>
        </w:rPr>
        <w:t>REVIEW PROCESS</w:t>
      </w:r>
      <w:r w:rsidRPr="000C3CEE">
        <w:rPr>
          <w:b/>
          <w:sz w:val="24"/>
        </w:rPr>
        <w:t>:</w:t>
      </w:r>
      <w:r w:rsidR="00D61218" w:rsidRPr="000C3CEE">
        <w:rPr>
          <w:b/>
          <w:sz w:val="24"/>
        </w:rPr>
        <w:t xml:space="preserve">    </w:t>
      </w:r>
    </w:p>
    <w:p w14:paraId="576A95EE" w14:textId="77777777" w:rsidR="00656A59" w:rsidRDefault="00D61218" w:rsidP="00317CF8">
      <w:r>
        <w:t xml:space="preserve">A </w:t>
      </w:r>
      <w:r w:rsidR="002D45D8">
        <w:t>Research Proposal</w:t>
      </w:r>
      <w:r w:rsidRPr="00D61218">
        <w:t xml:space="preserve"> </w:t>
      </w:r>
      <w:r>
        <w:t>Review Sub-c</w:t>
      </w:r>
      <w:r w:rsidRPr="00D61218">
        <w:t xml:space="preserve">ommittee </w:t>
      </w:r>
      <w:r>
        <w:t xml:space="preserve">of the CVM Teaching Academy </w:t>
      </w:r>
      <w:r w:rsidRPr="00D61218">
        <w:t xml:space="preserve">will review proposals competing for these funds and recommend funding </w:t>
      </w:r>
      <w:r>
        <w:t xml:space="preserve">to the Dean of the CVM.  The review sub-committee will </w:t>
      </w:r>
      <w:r w:rsidR="001D2183">
        <w:t xml:space="preserve">be chaired by the Director of the CVM Teaching Academy or his/her designate and will </w:t>
      </w:r>
      <w:r>
        <w:t>include at least one external (non-CVM) member with a background in education/educational research (e.g.</w:t>
      </w:r>
      <w:r w:rsidR="005D67EC">
        <w:t>,</w:t>
      </w:r>
      <w:r>
        <w:t xml:space="preserve"> a faculty member from the WSU College of Education).  Proposal</w:t>
      </w:r>
      <w:r w:rsidR="001D2183">
        <w:t>s</w:t>
      </w:r>
      <w:r>
        <w:t xml:space="preserve"> will be scored for </w:t>
      </w:r>
      <w:r w:rsidR="006275AB" w:rsidRPr="006275AB">
        <w:t xml:space="preserve">scientific merit, </w:t>
      </w:r>
      <w:r w:rsidR="00B37714" w:rsidRPr="006275AB">
        <w:t xml:space="preserve">potential </w:t>
      </w:r>
      <w:r w:rsidRPr="006275AB">
        <w:t>impact</w:t>
      </w:r>
      <w:r w:rsidR="006275AB" w:rsidRPr="006275AB">
        <w:t>, and overall quality</w:t>
      </w:r>
      <w:r>
        <w:t xml:space="preserve"> </w:t>
      </w:r>
      <w:r w:rsidRPr="00D61218">
        <w:t xml:space="preserve">based on </w:t>
      </w:r>
      <w:r>
        <w:t>a rubric</w:t>
      </w:r>
      <w:r w:rsidR="00991590">
        <w:t xml:space="preserve">/score sheet. </w:t>
      </w:r>
      <w:r w:rsidR="006275AB">
        <w:t xml:space="preserve"> Additional s</w:t>
      </w:r>
      <w:r w:rsidR="00991590">
        <w:t xml:space="preserve">coring will account for </w:t>
      </w:r>
      <w:r>
        <w:t xml:space="preserve">the program </w:t>
      </w:r>
      <w:r w:rsidR="00B37714">
        <w:t xml:space="preserve">goals and </w:t>
      </w:r>
      <w:r>
        <w:t>priorities des</w:t>
      </w:r>
      <w:r w:rsidR="00842C98">
        <w:t>cribed below</w:t>
      </w:r>
      <w:r>
        <w:t>.</w:t>
      </w:r>
      <w:r w:rsidRPr="00D61218">
        <w:t xml:space="preserve"> For further details on </w:t>
      </w:r>
      <w:r w:rsidR="00B37714">
        <w:t xml:space="preserve">budget, </w:t>
      </w:r>
      <w:r w:rsidR="00B06CE6">
        <w:t xml:space="preserve">deadlines, </w:t>
      </w:r>
      <w:r w:rsidR="00B37714">
        <w:t xml:space="preserve">and other requirements, </w:t>
      </w:r>
      <w:r w:rsidRPr="00D61218">
        <w:t>refer to the instructions for proposal submission</w:t>
      </w:r>
      <w:r w:rsidR="006275AB">
        <w:t xml:space="preserve"> document</w:t>
      </w:r>
      <w:r w:rsidR="00D572D1">
        <w:t>.</w:t>
      </w:r>
    </w:p>
    <w:p w14:paraId="2CB2B023" w14:textId="77777777" w:rsidR="00842C98" w:rsidRPr="000C3CEE" w:rsidRDefault="00842C98" w:rsidP="00842C98">
      <w:pPr>
        <w:rPr>
          <w:b/>
          <w:sz w:val="24"/>
        </w:rPr>
      </w:pPr>
      <w:r w:rsidRPr="000C3CEE">
        <w:rPr>
          <w:b/>
          <w:sz w:val="24"/>
          <w:u w:val="single"/>
        </w:rPr>
        <w:t>FUNDING PRIORIT</w:t>
      </w:r>
      <w:r w:rsidR="000C3CEE" w:rsidRPr="000C3CEE">
        <w:rPr>
          <w:b/>
          <w:sz w:val="24"/>
          <w:u w:val="single"/>
        </w:rPr>
        <w:t>IES</w:t>
      </w:r>
      <w:r w:rsidRPr="000C3CEE">
        <w:rPr>
          <w:b/>
          <w:sz w:val="24"/>
        </w:rPr>
        <w:t>:</w:t>
      </w:r>
    </w:p>
    <w:p w14:paraId="5E1C0448" w14:textId="77777777" w:rsidR="00842C98" w:rsidRDefault="00842C98" w:rsidP="00842C98">
      <w:r w:rsidRPr="000C3CEE">
        <w:t xml:space="preserve">Proposals will be reviewed for </w:t>
      </w:r>
      <w:r w:rsidR="006275AB">
        <w:rPr>
          <w:u w:val="single"/>
        </w:rPr>
        <w:t>scientific merit</w:t>
      </w:r>
      <w:r w:rsidR="006275AB" w:rsidRPr="006275AB">
        <w:t xml:space="preserve">, </w:t>
      </w:r>
      <w:r w:rsidR="006275AB" w:rsidRPr="006275AB">
        <w:rPr>
          <w:u w:val="single"/>
        </w:rPr>
        <w:t>potential impact</w:t>
      </w:r>
      <w:r w:rsidR="006275AB" w:rsidRPr="006275AB">
        <w:t>, and</w:t>
      </w:r>
      <w:r w:rsidR="006275AB">
        <w:rPr>
          <w:u w:val="single"/>
        </w:rPr>
        <w:t xml:space="preserve"> overall quality</w:t>
      </w:r>
      <w:r w:rsidRPr="000C3CEE">
        <w:t>, as described elsewhere.</w:t>
      </w:r>
      <w:r>
        <w:t xml:space="preserve">  </w:t>
      </w:r>
    </w:p>
    <w:p w14:paraId="73DD28A0" w14:textId="77777777" w:rsidR="00842C98" w:rsidRDefault="00842C98" w:rsidP="00842C98">
      <w:r>
        <w:t>The highest priority for funding will be awarded to</w:t>
      </w:r>
      <w:r w:rsidR="00F260E4">
        <w:t xml:space="preserve"> well</w:t>
      </w:r>
      <w:r w:rsidR="00EA1169">
        <w:t>-</w:t>
      </w:r>
      <w:r w:rsidRPr="00F260E4">
        <w:t>reviewed</w:t>
      </w:r>
      <w:r>
        <w:t xml:space="preserve"> proposals that best meet the following criteria:  (in approximate order of importance)</w:t>
      </w:r>
    </w:p>
    <w:p w14:paraId="066C869A" w14:textId="250EBEFB" w:rsidR="00842C98" w:rsidRDefault="00842C98" w:rsidP="00842C98">
      <w:pPr>
        <w:pStyle w:val="ListParagraph"/>
        <w:numPr>
          <w:ilvl w:val="0"/>
          <w:numId w:val="1"/>
        </w:numPr>
      </w:pPr>
      <w:r w:rsidRPr="00975A4B">
        <w:rPr>
          <w:u w:val="single"/>
        </w:rPr>
        <w:t>Likelihood of leading to significant extramural funding</w:t>
      </w:r>
      <w:r>
        <w:t xml:space="preserve">.   </w:t>
      </w:r>
      <w:r>
        <w:br/>
        <w:t>This criterion is particularly important for la</w:t>
      </w:r>
      <w:r w:rsidR="005C790A">
        <w:t>rger grants (e.g.</w:t>
      </w:r>
      <w:r>
        <w:t xml:space="preserve"> ERG Program A - </w:t>
      </w:r>
      <w:r w:rsidR="00763F74">
        <w:t>above</w:t>
      </w:r>
      <w:r>
        <w:t>). When this criterion is applicable, applicants are expected to provide an explicit explanation and plan for how funding will likely le</w:t>
      </w:r>
      <w:r w:rsidR="005C790A">
        <w:t>ad to extramural funding – e.g.</w:t>
      </w:r>
      <w:r>
        <w:t xml:space="preserve"> generation of critical preliminary data, name of targeted extramural agency and/or fund, expected date of submission, etc.  </w:t>
      </w:r>
    </w:p>
    <w:p w14:paraId="0C747AD2" w14:textId="77777777" w:rsidR="00842C98" w:rsidRDefault="00842C98" w:rsidP="00842C98">
      <w:pPr>
        <w:pStyle w:val="ListParagraph"/>
        <w:numPr>
          <w:ilvl w:val="0"/>
          <w:numId w:val="1"/>
        </w:numPr>
      </w:pPr>
      <w:r w:rsidRPr="00975A4B">
        <w:rPr>
          <w:u w:val="single"/>
        </w:rPr>
        <w:t xml:space="preserve">Likelihood of leading to a </w:t>
      </w:r>
      <w:r>
        <w:rPr>
          <w:u w:val="single"/>
        </w:rPr>
        <w:t xml:space="preserve">high quality, </w:t>
      </w:r>
      <w:r w:rsidRPr="00975A4B">
        <w:rPr>
          <w:u w:val="single"/>
        </w:rPr>
        <w:t>peer-reviewed publication</w:t>
      </w:r>
      <w:r>
        <w:t>.</w:t>
      </w:r>
      <w:r>
        <w:br/>
      </w:r>
      <w:r w:rsidRPr="001D2183">
        <w:rPr>
          <w:u w:val="single"/>
        </w:rPr>
        <w:t>All</w:t>
      </w:r>
      <w:r>
        <w:t xml:space="preserve"> applicants are expected to delineate a plan for publication, including a timeline and likely target journal(s).  </w:t>
      </w:r>
    </w:p>
    <w:p w14:paraId="6B987898" w14:textId="77777777" w:rsidR="00842C98" w:rsidRDefault="00842C98" w:rsidP="00842C98">
      <w:pPr>
        <w:pStyle w:val="ListParagraph"/>
        <w:numPr>
          <w:ilvl w:val="0"/>
          <w:numId w:val="1"/>
        </w:numPr>
      </w:pPr>
      <w:r w:rsidRPr="005015EE">
        <w:rPr>
          <w:u w:val="single"/>
        </w:rPr>
        <w:t xml:space="preserve">Likelihood of leading to </w:t>
      </w:r>
      <w:r>
        <w:rPr>
          <w:u w:val="single"/>
        </w:rPr>
        <w:t xml:space="preserve">scholarly </w:t>
      </w:r>
      <w:r w:rsidRPr="005015EE">
        <w:rPr>
          <w:u w:val="single"/>
        </w:rPr>
        <w:t>presentation</w:t>
      </w:r>
      <w:r>
        <w:t xml:space="preserve"> – notably outside the CVM and WSU.</w:t>
      </w:r>
      <w:r>
        <w:br/>
        <w:t>All applicants are expected to delineate a plan for how their research results will be shared in one or more public venues, including a timeline and prospective presentation venues (</w:t>
      </w:r>
      <w:r w:rsidRPr="002E38C1">
        <w:rPr>
          <w:i/>
        </w:rPr>
        <w:t>e.g. the annual ASM meeting,</w:t>
      </w:r>
      <w:r>
        <w:rPr>
          <w:i/>
        </w:rPr>
        <w:t xml:space="preserve"> </w:t>
      </w:r>
      <w:r w:rsidRPr="002E38C1">
        <w:rPr>
          <w:i/>
        </w:rPr>
        <w:t xml:space="preserve">the annual meeting of the Veterinary Educators Collaborative, </w:t>
      </w:r>
      <w:r>
        <w:rPr>
          <w:i/>
        </w:rPr>
        <w:t xml:space="preserve">CVM or Consortium of West Region Colleges of Veterinary Medicine Teaching Academy workshop, </w:t>
      </w:r>
      <w:r w:rsidRPr="002E38C1">
        <w:rPr>
          <w:i/>
        </w:rPr>
        <w:t>etc.</w:t>
      </w:r>
      <w:r>
        <w:t>)</w:t>
      </w:r>
    </w:p>
    <w:p w14:paraId="535742CC" w14:textId="77777777" w:rsidR="00842C98" w:rsidRDefault="00842C98" w:rsidP="00842C98">
      <w:pPr>
        <w:pStyle w:val="ListParagraph"/>
        <w:numPr>
          <w:ilvl w:val="0"/>
          <w:numId w:val="1"/>
        </w:numPr>
      </w:pPr>
      <w:r w:rsidRPr="005015EE">
        <w:rPr>
          <w:u w:val="single"/>
        </w:rPr>
        <w:t>Collab</w:t>
      </w:r>
      <w:r>
        <w:rPr>
          <w:u w:val="single"/>
        </w:rPr>
        <w:t>o</w:t>
      </w:r>
      <w:r w:rsidRPr="005015EE">
        <w:rPr>
          <w:u w:val="single"/>
        </w:rPr>
        <w:t>ration with other units at WSU</w:t>
      </w:r>
      <w:r w:rsidR="00EA6811">
        <w:t xml:space="preserve"> (and with</w:t>
      </w:r>
      <w:r w:rsidR="00FE5C1B">
        <w:t xml:space="preserve"> other</w:t>
      </w:r>
      <w:r w:rsidR="00EA6811">
        <w:t xml:space="preserve"> partner</w:t>
      </w:r>
      <w:r w:rsidR="00FE5C1B">
        <w:t>s</w:t>
      </w:r>
      <w:r w:rsidR="00EA6811">
        <w:t xml:space="preserve"> </w:t>
      </w:r>
      <w:r w:rsidR="00FE5C1B">
        <w:t>– e.g. other universities</w:t>
      </w:r>
      <w:r w:rsidR="00EA6811">
        <w:t>)</w:t>
      </w:r>
      <w:r>
        <w:t xml:space="preserve">.  </w:t>
      </w:r>
      <w:r>
        <w:br/>
        <w:t xml:space="preserve">Notably – </w:t>
      </w:r>
    </w:p>
    <w:p w14:paraId="55AA7562" w14:textId="77777777" w:rsidR="00842C98" w:rsidRPr="006806E8" w:rsidRDefault="00842C98" w:rsidP="00842C98">
      <w:pPr>
        <w:pStyle w:val="ListParagraph"/>
        <w:numPr>
          <w:ilvl w:val="1"/>
          <w:numId w:val="1"/>
        </w:numPr>
        <w:rPr>
          <w:sz w:val="21"/>
          <w:szCs w:val="21"/>
        </w:rPr>
      </w:pPr>
      <w:r w:rsidRPr="006806E8">
        <w:rPr>
          <w:sz w:val="21"/>
          <w:szCs w:val="21"/>
        </w:rPr>
        <w:lastRenderedPageBreak/>
        <w:t>co-investigators in the WSU College of Education</w:t>
      </w:r>
      <w:r w:rsidR="003451D3" w:rsidRPr="006806E8">
        <w:rPr>
          <w:sz w:val="21"/>
          <w:szCs w:val="21"/>
        </w:rPr>
        <w:t xml:space="preserve"> **</w:t>
      </w:r>
      <w:r w:rsidRPr="006806E8">
        <w:rPr>
          <w:sz w:val="21"/>
          <w:szCs w:val="21"/>
        </w:rPr>
        <w:t>, and</w:t>
      </w:r>
    </w:p>
    <w:p w14:paraId="07661250" w14:textId="77777777" w:rsidR="00842C98" w:rsidRPr="006806E8" w:rsidRDefault="00842C98" w:rsidP="00842C98">
      <w:pPr>
        <w:pStyle w:val="ListParagraph"/>
        <w:numPr>
          <w:ilvl w:val="1"/>
          <w:numId w:val="1"/>
        </w:numPr>
        <w:rPr>
          <w:sz w:val="21"/>
          <w:szCs w:val="21"/>
        </w:rPr>
      </w:pPr>
      <w:proofErr w:type="gramStart"/>
      <w:r w:rsidRPr="006806E8">
        <w:rPr>
          <w:sz w:val="21"/>
          <w:szCs w:val="21"/>
        </w:rPr>
        <w:t>co-investigators</w:t>
      </w:r>
      <w:proofErr w:type="gramEnd"/>
      <w:r w:rsidRPr="006806E8">
        <w:rPr>
          <w:sz w:val="21"/>
          <w:szCs w:val="21"/>
        </w:rPr>
        <w:t xml:space="preserve"> in other CVM departments/schools. </w:t>
      </w:r>
    </w:p>
    <w:p w14:paraId="71D93524" w14:textId="77777777" w:rsidR="00842C98" w:rsidRPr="006806E8" w:rsidRDefault="00842C98" w:rsidP="00842C98">
      <w:pPr>
        <w:pStyle w:val="ListParagraph"/>
        <w:numPr>
          <w:ilvl w:val="1"/>
          <w:numId w:val="1"/>
        </w:numPr>
        <w:rPr>
          <w:sz w:val="21"/>
          <w:szCs w:val="21"/>
        </w:rPr>
      </w:pPr>
      <w:r w:rsidRPr="006806E8">
        <w:rPr>
          <w:sz w:val="21"/>
          <w:szCs w:val="21"/>
        </w:rPr>
        <w:t xml:space="preserve">Also: collaborators at other </w:t>
      </w:r>
      <w:r w:rsidR="00EA1169" w:rsidRPr="006806E8">
        <w:rPr>
          <w:sz w:val="21"/>
          <w:szCs w:val="21"/>
        </w:rPr>
        <w:t>institutions</w:t>
      </w:r>
      <w:r w:rsidRPr="006806E8">
        <w:rPr>
          <w:sz w:val="21"/>
          <w:szCs w:val="21"/>
        </w:rPr>
        <w:t>, particularly colleges that are members of the West Region Consortium of Colleges of Veterinary Medicine.</w:t>
      </w:r>
    </w:p>
    <w:p w14:paraId="34D89B1E" w14:textId="77777777" w:rsidR="003451D3" w:rsidRPr="006806E8" w:rsidRDefault="003451D3" w:rsidP="003451D3">
      <w:pPr>
        <w:ind w:left="1440"/>
        <w:rPr>
          <w:i/>
          <w:sz w:val="21"/>
          <w:szCs w:val="21"/>
        </w:rPr>
      </w:pPr>
      <w:r w:rsidRPr="006806E8">
        <w:rPr>
          <w:i/>
          <w:sz w:val="21"/>
          <w:szCs w:val="21"/>
        </w:rPr>
        <w:t xml:space="preserve">** In order to qualify for additional funding via the COE incentive, the collaboration must be substantive and well justified.  Please make sure the rationale for the collaboration and what each investigator uniquely brings to the project </w:t>
      </w:r>
      <w:proofErr w:type="gramStart"/>
      <w:r w:rsidRPr="006806E8">
        <w:rPr>
          <w:i/>
          <w:sz w:val="21"/>
          <w:szCs w:val="21"/>
        </w:rPr>
        <w:t>is clearly explained</w:t>
      </w:r>
      <w:proofErr w:type="gramEnd"/>
      <w:r w:rsidRPr="006806E8">
        <w:rPr>
          <w:i/>
          <w:sz w:val="21"/>
          <w:szCs w:val="21"/>
        </w:rPr>
        <w:t>.</w:t>
      </w:r>
    </w:p>
    <w:p w14:paraId="74C39D3F" w14:textId="77777777" w:rsidR="00842C98" w:rsidRDefault="00B06CE6" w:rsidP="00842C98">
      <w:pPr>
        <w:pStyle w:val="ListParagraph"/>
        <w:numPr>
          <w:ilvl w:val="0"/>
          <w:numId w:val="1"/>
        </w:numPr>
      </w:pPr>
      <w:r>
        <w:rPr>
          <w:u w:val="single"/>
        </w:rPr>
        <w:t>Support of new</w:t>
      </w:r>
      <w:r w:rsidRPr="005015EE">
        <w:rPr>
          <w:u w:val="single"/>
        </w:rPr>
        <w:t xml:space="preserve"> </w:t>
      </w:r>
      <w:r w:rsidR="00842C98" w:rsidRPr="005015EE">
        <w:rPr>
          <w:u w:val="single"/>
        </w:rPr>
        <w:t>faculty</w:t>
      </w:r>
      <w:r w:rsidR="00842C98" w:rsidRPr="00C06848">
        <w:t xml:space="preserve"> (tenure track</w:t>
      </w:r>
      <w:r w:rsidR="00420B1A">
        <w:t xml:space="preserve"> </w:t>
      </w:r>
      <w:r w:rsidR="00842C98" w:rsidRPr="00C06848">
        <w:t xml:space="preserve">and clinical track faculty in the first </w:t>
      </w:r>
      <w:r w:rsidR="00842C98">
        <w:t>6</w:t>
      </w:r>
      <w:r w:rsidR="00842C98" w:rsidRPr="00C06848">
        <w:t xml:space="preserve"> years of their </w:t>
      </w:r>
      <w:r w:rsidR="00842C98">
        <w:t xml:space="preserve">current </w:t>
      </w:r>
      <w:r w:rsidR="00842C98" w:rsidRPr="00C06848">
        <w:t>appointment) - including those engaging in educational research for the first time</w:t>
      </w:r>
      <w:r w:rsidR="00842C98">
        <w:t>.</w:t>
      </w:r>
    </w:p>
    <w:p w14:paraId="0F746171" w14:textId="77777777" w:rsidR="00842C98" w:rsidRDefault="00842C98" w:rsidP="00842C98">
      <w:pPr>
        <w:pStyle w:val="ListParagraph"/>
        <w:numPr>
          <w:ilvl w:val="0"/>
          <w:numId w:val="1"/>
        </w:numPr>
      </w:pPr>
      <w:r w:rsidRPr="005015EE">
        <w:rPr>
          <w:u w:val="single"/>
        </w:rPr>
        <w:t xml:space="preserve">Established faculty seeking </w:t>
      </w:r>
      <w:r w:rsidR="008F43D2">
        <w:rPr>
          <w:u w:val="single"/>
        </w:rPr>
        <w:t xml:space="preserve">or exploring </w:t>
      </w:r>
      <w:r w:rsidRPr="005015EE">
        <w:rPr>
          <w:u w:val="single"/>
        </w:rPr>
        <w:t>a change in direction</w:t>
      </w:r>
      <w:r>
        <w:t xml:space="preserve"> - including new engagement in educational research </w:t>
      </w:r>
    </w:p>
    <w:p w14:paraId="7ECAE0B9" w14:textId="77777777" w:rsidR="00593CC5" w:rsidRDefault="00842C98" w:rsidP="00842C98">
      <w:pPr>
        <w:pStyle w:val="ListParagraph"/>
        <w:numPr>
          <w:ilvl w:val="0"/>
          <w:numId w:val="1"/>
        </w:numPr>
      </w:pPr>
      <w:r w:rsidRPr="00497A4E">
        <w:rPr>
          <w:u w:val="single"/>
        </w:rPr>
        <w:t>A record of previous success</w:t>
      </w:r>
      <w:r w:rsidRPr="000C3CEE">
        <w:t xml:space="preserve"> – notably faculty who have productively used previous funding from this program to successfully compete for extramural funding, publish educational research in </w:t>
      </w:r>
      <w:proofErr w:type="gramStart"/>
      <w:r w:rsidRPr="000C3CEE">
        <w:t>peer reviewed</w:t>
      </w:r>
      <w:proofErr w:type="gramEnd"/>
      <w:r w:rsidRPr="000C3CEE">
        <w:t xml:space="preserve"> journals, and/or present at a regional, national, or international venue.</w:t>
      </w:r>
    </w:p>
    <w:p w14:paraId="77445744" w14:textId="0FE3EDD2" w:rsidR="00A24AB0" w:rsidRDefault="00A24AB0" w:rsidP="00A24AB0">
      <w:pPr>
        <w:rPr>
          <w:b/>
        </w:rPr>
      </w:pPr>
      <w:r w:rsidRPr="00CD3BD4">
        <w:rPr>
          <w:b/>
        </w:rPr>
        <w:t xml:space="preserve">ELIGIBLITY FOR CVM INTRAMURAL </w:t>
      </w:r>
      <w:r w:rsidR="00D96E57">
        <w:rPr>
          <w:b/>
        </w:rPr>
        <w:t xml:space="preserve">ERG </w:t>
      </w:r>
      <w:r w:rsidRPr="00CD3BD4">
        <w:rPr>
          <w:b/>
        </w:rPr>
        <w:t>FUNDING:</w:t>
      </w:r>
    </w:p>
    <w:p w14:paraId="13D4D43A" w14:textId="6C116B74" w:rsidR="00F36666" w:rsidRDefault="00F36666" w:rsidP="00EF0FC7">
      <w:pPr>
        <w:spacing w:line="240" w:lineRule="auto"/>
        <w:ind w:left="360" w:right="-180"/>
      </w:pPr>
      <w:bookmarkStart w:id="0" w:name="EligibilityNote"/>
      <w:r w:rsidRPr="00F36666">
        <w:rPr>
          <w:b/>
        </w:rPr>
        <w:t>NOTE</w:t>
      </w:r>
      <w:bookmarkEnd w:id="0"/>
      <w:r w:rsidRPr="00F36666">
        <w:rPr>
          <w:b/>
        </w:rPr>
        <w:t>:</w:t>
      </w:r>
      <w:r>
        <w:t xml:space="preserve">  A stated goal of the program is to increase the number of CVM faculty engaged in educational research in substantive ways.  Therefore (and b</w:t>
      </w:r>
      <w:r w:rsidRPr="00593CC5">
        <w:t xml:space="preserve">ecause </w:t>
      </w:r>
      <w:r>
        <w:t>funds are limi</w:t>
      </w:r>
      <w:r w:rsidRPr="0031644E">
        <w:t>ted</w:t>
      </w:r>
      <w:r>
        <w:t xml:space="preserve">), </w:t>
      </w:r>
      <w:r w:rsidRPr="00846A56">
        <w:t xml:space="preserve">the review committee will look to fund multiple </w:t>
      </w:r>
      <w:r w:rsidR="00E13A46" w:rsidRPr="00846A56">
        <w:t xml:space="preserve">different </w:t>
      </w:r>
      <w:r w:rsidRPr="00846A56">
        <w:t xml:space="preserve">CVM investigators/programs </w:t>
      </w:r>
      <w:r w:rsidRPr="00846A56">
        <w:rPr>
          <w:u w:val="single"/>
        </w:rPr>
        <w:t>before</w:t>
      </w:r>
      <w:r w:rsidRPr="00846A56">
        <w:t xml:space="preserve"> funding any single investigator/program multiple times.</w:t>
      </w:r>
      <w:r w:rsidRPr="0031644E">
        <w:t xml:space="preserve">  Plea</w:t>
      </w:r>
      <w:r>
        <w:t>se consider this and be strategic in submitting proposals.  In years where multiple high quality proposals are submitted and requests exceed available funds, you may be competing against other proposals with your name on them</w:t>
      </w:r>
      <w:r w:rsidR="00D96E57">
        <w:t xml:space="preserve"> (in addition to competing against other investigators)</w:t>
      </w:r>
      <w:r w:rsidR="005C790A">
        <w:t xml:space="preserve"> and only one of your proposals </w:t>
      </w:r>
      <w:r w:rsidR="00EF0FC7">
        <w:t>is likely to be</w:t>
      </w:r>
      <w:r w:rsidR="005C790A">
        <w:t xml:space="preserve"> funded</w:t>
      </w:r>
      <w:r>
        <w:t>.  If possible</w:t>
      </w:r>
      <w:r w:rsidR="005C790A">
        <w:t xml:space="preserve"> (when your name is on multiple proposals)</w:t>
      </w:r>
      <w:r>
        <w:t xml:space="preserve">, you </w:t>
      </w:r>
      <w:r w:rsidR="005C790A">
        <w:t>should</w:t>
      </w:r>
      <w:r>
        <w:t xml:space="preserve"> identify the proposal with highest priority.  </w:t>
      </w:r>
    </w:p>
    <w:p w14:paraId="66DE66BF" w14:textId="17C356BE" w:rsidR="00F36666" w:rsidRDefault="00CD3BD4" w:rsidP="00D96E57">
      <w:pPr>
        <w:pStyle w:val="ListParagraph"/>
        <w:numPr>
          <w:ilvl w:val="0"/>
          <w:numId w:val="25"/>
        </w:numPr>
        <w:spacing w:after="0" w:line="240" w:lineRule="auto"/>
      </w:pPr>
      <w:r>
        <w:t>Collaborative proposals between the CVM and COE must (a) have a CVM faculty member listed as Co-investigator (Co-I)</w:t>
      </w:r>
      <w:r w:rsidR="00E13A46">
        <w:t xml:space="preserve"> or Primary Investigator (PI/Co-PI)</w:t>
      </w:r>
      <w:r>
        <w:t>, (b) represent a true collaboration between the listed investigators, and (c) address an educational research question/problem that is also relevant to the mission of the CVM</w:t>
      </w:r>
      <w:r w:rsidR="00FA1FFA">
        <w:t xml:space="preserve"> (which includes the undergraduate STEM program)</w:t>
      </w:r>
      <w:r>
        <w:t>.</w:t>
      </w:r>
    </w:p>
    <w:p w14:paraId="7D1897A2" w14:textId="77777777" w:rsidR="00C27766" w:rsidRDefault="00F36666" w:rsidP="00D96E57">
      <w:pPr>
        <w:pStyle w:val="ListParagraph"/>
        <w:numPr>
          <w:ilvl w:val="0"/>
          <w:numId w:val="25"/>
        </w:numPr>
        <w:spacing w:line="240" w:lineRule="auto"/>
      </w:pPr>
      <w:r>
        <w:t>If requested funds exceed available funds, first</w:t>
      </w:r>
      <w:r w:rsidRPr="00F36666">
        <w:t xml:space="preserve"> priority will be given to high quality proposals with CVM faculty listed as PI or Co-PI.  </w:t>
      </w:r>
      <w:r w:rsidR="00E13A46">
        <w:t>Next priority is proposals with CVM faculty listed as Co-I.</w:t>
      </w:r>
    </w:p>
    <w:p w14:paraId="337E116C" w14:textId="77777777" w:rsidR="00F36666" w:rsidRDefault="00F36666" w:rsidP="00D96E57">
      <w:pPr>
        <w:pStyle w:val="ListParagraph"/>
        <w:numPr>
          <w:ilvl w:val="0"/>
          <w:numId w:val="25"/>
        </w:numPr>
        <w:spacing w:line="240" w:lineRule="auto"/>
      </w:pPr>
      <w:r>
        <w:t>At this time (because of limited funding), no CVM faculty may be the PI or Co-PI on more than one proposal.  CVM faculty may be Co-I on multiple grants.</w:t>
      </w:r>
    </w:p>
    <w:p w14:paraId="066F218C" w14:textId="2053CCD6" w:rsidR="00F36666" w:rsidRDefault="00A24AB0" w:rsidP="00D96E57">
      <w:pPr>
        <w:pStyle w:val="ListParagraph"/>
        <w:numPr>
          <w:ilvl w:val="0"/>
          <w:numId w:val="25"/>
        </w:numPr>
        <w:spacing w:after="0" w:line="240" w:lineRule="auto"/>
      </w:pPr>
      <w:r>
        <w:t>G</w:t>
      </w:r>
      <w:r w:rsidRPr="009227CE">
        <w:t>raduate student</w:t>
      </w:r>
      <w:r>
        <w:t>s</w:t>
      </w:r>
      <w:r w:rsidR="005E1EB5">
        <w:t xml:space="preserve"> and </w:t>
      </w:r>
      <w:r w:rsidR="00BC504C">
        <w:t xml:space="preserve">post-doctoral fellows </w:t>
      </w:r>
      <w:r>
        <w:t xml:space="preserve">are </w:t>
      </w:r>
      <w:r w:rsidRPr="00F36666">
        <w:rPr>
          <w:b/>
        </w:rPr>
        <w:t>not</w:t>
      </w:r>
      <w:r w:rsidRPr="009227CE">
        <w:t xml:space="preserve"> </w:t>
      </w:r>
      <w:r w:rsidR="00FA1FFA">
        <w:t xml:space="preserve">currently </w:t>
      </w:r>
      <w:r w:rsidRPr="009227CE">
        <w:t>eligible for these funds</w:t>
      </w:r>
      <w:r>
        <w:t xml:space="preserve"> (i.e. graduate students </w:t>
      </w:r>
      <w:r w:rsidR="005E1EB5">
        <w:t xml:space="preserve">and post docs </w:t>
      </w:r>
      <w:r>
        <w:t>may not apply as PI</w:t>
      </w:r>
      <w:r w:rsidR="00F36666">
        <w:t xml:space="preserve"> or Co-PI</w:t>
      </w:r>
      <w:r>
        <w:t xml:space="preserve">, but can be listed as co-investigators or contributors/collaborators, so long as </w:t>
      </w:r>
      <w:r w:rsidR="00CD3BD4">
        <w:t>a</w:t>
      </w:r>
      <w:r>
        <w:t xml:space="preserve"> PI</w:t>
      </w:r>
      <w:r w:rsidR="00CD3BD4">
        <w:t xml:space="preserve"> or Co</w:t>
      </w:r>
      <w:r w:rsidR="00F36666">
        <w:t>-</w:t>
      </w:r>
      <w:r w:rsidR="00CD3BD4">
        <w:t>I</w:t>
      </w:r>
      <w:r>
        <w:t xml:space="preserve"> is a CVM faculty member.  Funds may not be used for graduate student </w:t>
      </w:r>
      <w:r w:rsidR="005E1EB5">
        <w:t xml:space="preserve">or post-doctoral </w:t>
      </w:r>
      <w:r>
        <w:t xml:space="preserve">salary, wages, or </w:t>
      </w:r>
      <w:r w:rsidR="00F36666">
        <w:t>travel</w:t>
      </w:r>
      <w:r>
        <w:t>. (We hope to someday develop a future separate/parallel program for th</w:t>
      </w:r>
      <w:r w:rsidR="00F36666">
        <w:t>ese</w:t>
      </w:r>
      <w:r>
        <w:t xml:space="preserve"> purpose</w:t>
      </w:r>
      <w:r w:rsidR="00F36666">
        <w:t>s</w:t>
      </w:r>
      <w:r>
        <w:t>.)</w:t>
      </w:r>
    </w:p>
    <w:p w14:paraId="7066AC02" w14:textId="77777777" w:rsidR="00F36666" w:rsidRDefault="00F36666" w:rsidP="00D96E57">
      <w:pPr>
        <w:pStyle w:val="ListParagraph"/>
        <w:numPr>
          <w:ilvl w:val="0"/>
          <w:numId w:val="25"/>
        </w:numPr>
        <w:spacing w:after="0" w:line="240" w:lineRule="auto"/>
      </w:pPr>
      <w:r>
        <w:t>ERG funds may not be used to s</w:t>
      </w:r>
      <w:r w:rsidR="00A24AB0" w:rsidRPr="009227CE">
        <w:t xml:space="preserve">upport </w:t>
      </w:r>
      <w:r w:rsidR="00C27766">
        <w:t>travel to conferences</w:t>
      </w:r>
      <w:r w:rsidR="00A24AB0" w:rsidRPr="009227CE">
        <w:t>.</w:t>
      </w:r>
      <w:r w:rsidR="00A24AB0">
        <w:t xml:space="preserve">  (Active CVM Teaching Academy members may apply for TA Travel Grants for this purpose.)</w:t>
      </w:r>
    </w:p>
    <w:p w14:paraId="19B679F5" w14:textId="55446EC6" w:rsidR="0096109A" w:rsidRDefault="0096109A" w:rsidP="0096109A">
      <w:pPr>
        <w:pStyle w:val="ListParagraph"/>
        <w:numPr>
          <w:ilvl w:val="0"/>
          <w:numId w:val="25"/>
        </w:numPr>
        <w:spacing w:after="0" w:line="240" w:lineRule="auto"/>
      </w:pPr>
      <w:r w:rsidRPr="0096109A">
        <w:t>You must have the endorsement of your department chair/unit director.</w:t>
      </w:r>
    </w:p>
    <w:p w14:paraId="4C221D34" w14:textId="77777777" w:rsidR="005C790A" w:rsidRDefault="005C790A" w:rsidP="005C790A">
      <w:pPr>
        <w:spacing w:after="0" w:line="240" w:lineRule="auto"/>
        <w:ind w:left="720"/>
      </w:pPr>
    </w:p>
    <w:p w14:paraId="1B9D75FA" w14:textId="77777777" w:rsidR="002222A7" w:rsidRDefault="002222A7" w:rsidP="00D073BB">
      <w:pPr>
        <w:spacing w:after="0" w:line="240" w:lineRule="auto"/>
        <w:rPr>
          <w:b/>
          <w:sz w:val="28"/>
          <w:u w:val="single"/>
        </w:rPr>
      </w:pPr>
      <w:r>
        <w:rPr>
          <w:b/>
          <w:sz w:val="28"/>
          <w:u w:val="single"/>
        </w:rPr>
        <w:lastRenderedPageBreak/>
        <w:t xml:space="preserve">CVM EDUCATIONAL RESEARCH </w:t>
      </w:r>
      <w:r w:rsidRPr="00317CF8">
        <w:rPr>
          <w:b/>
          <w:sz w:val="28"/>
          <w:u w:val="single"/>
        </w:rPr>
        <w:t xml:space="preserve">GRANT </w:t>
      </w:r>
      <w:r>
        <w:rPr>
          <w:b/>
          <w:sz w:val="28"/>
          <w:u w:val="single"/>
        </w:rPr>
        <w:t xml:space="preserve">(ERG) INTRAMURAL </w:t>
      </w:r>
      <w:r w:rsidRPr="00317CF8">
        <w:rPr>
          <w:b/>
          <w:sz w:val="28"/>
          <w:u w:val="single"/>
        </w:rPr>
        <w:t>PROGRAM</w:t>
      </w:r>
    </w:p>
    <w:p w14:paraId="02C3C620" w14:textId="77777777" w:rsidR="00D073BB" w:rsidRPr="00317CF8" w:rsidRDefault="00D073BB" w:rsidP="00D073BB">
      <w:pPr>
        <w:spacing w:after="0" w:line="240" w:lineRule="auto"/>
        <w:rPr>
          <w:b/>
          <w:sz w:val="28"/>
          <w:u w:val="single"/>
        </w:rPr>
      </w:pPr>
    </w:p>
    <w:p w14:paraId="2B9465FC" w14:textId="3FB69758" w:rsidR="00EA7995" w:rsidRPr="00EA7995" w:rsidRDefault="00EA7995" w:rsidP="009D5A6D">
      <w:pPr>
        <w:ind w:left="360" w:hanging="360"/>
        <w:rPr>
          <w:b/>
          <w:u w:val="single"/>
        </w:rPr>
      </w:pPr>
      <w:r w:rsidRPr="008E03F3">
        <w:rPr>
          <w:b/>
          <w:sz w:val="24"/>
          <w:u w:val="single"/>
        </w:rPr>
        <w:t>FUNDS AVAILABLE</w:t>
      </w:r>
      <w:r w:rsidRPr="008E03F3">
        <w:rPr>
          <w:b/>
          <w:sz w:val="24"/>
        </w:rPr>
        <w:t xml:space="preserve">:  </w:t>
      </w:r>
      <w:r w:rsidRPr="00317CF8">
        <w:t xml:space="preserve">The funds available in any one year will be limited.  </w:t>
      </w:r>
      <w:r w:rsidRPr="00EA7995">
        <w:rPr>
          <w:i/>
        </w:rPr>
        <w:t xml:space="preserve">Expected </w:t>
      </w:r>
      <w:r w:rsidR="004842E6">
        <w:rPr>
          <w:i/>
        </w:rPr>
        <w:t xml:space="preserve">available </w:t>
      </w:r>
      <w:r w:rsidR="003451D3">
        <w:rPr>
          <w:i/>
        </w:rPr>
        <w:t xml:space="preserve">funding for </w:t>
      </w:r>
      <w:r w:rsidR="000A723A">
        <w:rPr>
          <w:i/>
        </w:rPr>
        <w:t>2018</w:t>
      </w:r>
      <w:r w:rsidR="003451D3">
        <w:rPr>
          <w:i/>
        </w:rPr>
        <w:t>-1</w:t>
      </w:r>
      <w:r w:rsidR="000A723A">
        <w:rPr>
          <w:i/>
        </w:rPr>
        <w:t>9</w:t>
      </w:r>
      <w:r w:rsidRPr="00EA7995">
        <w:rPr>
          <w:i/>
        </w:rPr>
        <w:t xml:space="preserve"> is approximately </w:t>
      </w:r>
      <w:r w:rsidRPr="000C3CEE">
        <w:rPr>
          <w:i/>
        </w:rPr>
        <w:t>$</w:t>
      </w:r>
      <w:r w:rsidR="000C3CEE" w:rsidRPr="000C3CEE">
        <w:rPr>
          <w:i/>
        </w:rPr>
        <w:t>20</w:t>
      </w:r>
      <w:r w:rsidR="000C3CEE">
        <w:rPr>
          <w:i/>
        </w:rPr>
        <w:t>,000</w:t>
      </w:r>
      <w:r w:rsidRPr="00EA7995">
        <w:rPr>
          <w:i/>
        </w:rPr>
        <w:t xml:space="preserve"> total.</w:t>
      </w:r>
      <w:r>
        <w:t xml:space="preserve">  </w:t>
      </w:r>
      <w:r w:rsidRPr="00D61218">
        <w:t>Each faculty member is limited to one grant application per year</w:t>
      </w:r>
      <w:r w:rsidR="005256E7">
        <w:t xml:space="preserve"> as primary investigator (PI) or co-PI</w:t>
      </w:r>
      <w:r w:rsidRPr="00D61218">
        <w:t>.</w:t>
      </w:r>
    </w:p>
    <w:p w14:paraId="77193C67" w14:textId="77777777" w:rsidR="009227CE" w:rsidRPr="008E03F3" w:rsidRDefault="009227CE" w:rsidP="009227CE">
      <w:pPr>
        <w:ind w:left="720" w:hanging="360"/>
        <w:rPr>
          <w:b/>
          <w:sz w:val="24"/>
        </w:rPr>
      </w:pPr>
      <w:r w:rsidRPr="008E03F3">
        <w:rPr>
          <w:b/>
          <w:sz w:val="24"/>
        </w:rPr>
        <w:t>Research Awards can be used to support:</w:t>
      </w:r>
    </w:p>
    <w:p w14:paraId="1E2F33AE" w14:textId="77777777" w:rsidR="005F64EB" w:rsidRPr="006806E8" w:rsidRDefault="005F64EB" w:rsidP="005F64EB">
      <w:pPr>
        <w:pStyle w:val="ListParagraph"/>
        <w:numPr>
          <w:ilvl w:val="0"/>
          <w:numId w:val="7"/>
        </w:numPr>
        <w:spacing w:after="0" w:line="240" w:lineRule="auto"/>
        <w:ind w:left="720"/>
        <w:rPr>
          <w:sz w:val="21"/>
          <w:szCs w:val="21"/>
        </w:rPr>
      </w:pPr>
      <w:r w:rsidRPr="006806E8">
        <w:rPr>
          <w:sz w:val="21"/>
          <w:szCs w:val="21"/>
        </w:rPr>
        <w:t xml:space="preserve">Development costs to design </w:t>
      </w:r>
      <w:r w:rsidR="00BE1715" w:rsidRPr="006806E8">
        <w:rPr>
          <w:sz w:val="21"/>
          <w:szCs w:val="21"/>
        </w:rPr>
        <w:t xml:space="preserve">assessment </w:t>
      </w:r>
      <w:r w:rsidRPr="006806E8">
        <w:rPr>
          <w:sz w:val="21"/>
          <w:szCs w:val="21"/>
        </w:rPr>
        <w:t>instruments, surveys, etc.</w:t>
      </w:r>
    </w:p>
    <w:p w14:paraId="13DE6238" w14:textId="77777777" w:rsidR="005F64EB" w:rsidRPr="006806E8" w:rsidRDefault="005F64EB" w:rsidP="005F64EB">
      <w:pPr>
        <w:pStyle w:val="ListParagraph"/>
        <w:numPr>
          <w:ilvl w:val="0"/>
          <w:numId w:val="7"/>
        </w:numPr>
        <w:spacing w:after="0" w:line="240" w:lineRule="auto"/>
        <w:ind w:left="720"/>
        <w:rPr>
          <w:sz w:val="21"/>
          <w:szCs w:val="21"/>
        </w:rPr>
      </w:pPr>
      <w:r w:rsidRPr="006806E8">
        <w:rPr>
          <w:sz w:val="21"/>
          <w:szCs w:val="21"/>
        </w:rPr>
        <w:t>Data analysis consultants or transcription of data</w:t>
      </w:r>
    </w:p>
    <w:p w14:paraId="556AC72C" w14:textId="77777777" w:rsidR="000B1511" w:rsidRPr="006806E8" w:rsidRDefault="000B1511" w:rsidP="000B1511">
      <w:pPr>
        <w:pStyle w:val="ListParagraph"/>
        <w:numPr>
          <w:ilvl w:val="0"/>
          <w:numId w:val="7"/>
        </w:numPr>
        <w:spacing w:after="0" w:line="240" w:lineRule="auto"/>
        <w:ind w:left="720"/>
        <w:rPr>
          <w:sz w:val="21"/>
          <w:szCs w:val="21"/>
        </w:rPr>
      </w:pPr>
      <w:r w:rsidRPr="006806E8">
        <w:rPr>
          <w:sz w:val="21"/>
          <w:szCs w:val="21"/>
        </w:rPr>
        <w:t xml:space="preserve">Personnel: </w:t>
      </w:r>
      <w:r w:rsidRPr="006806E8">
        <w:rPr>
          <w:sz w:val="21"/>
          <w:szCs w:val="21"/>
        </w:rPr>
        <w:br/>
      </w:r>
      <w:r w:rsidRPr="006806E8">
        <w:rPr>
          <w:i/>
          <w:sz w:val="21"/>
          <w:szCs w:val="21"/>
        </w:rPr>
        <w:t>These funds must be well justified, including a clear explanation of the expertise, experience and/or effort that the supported individual brings to the grant.</w:t>
      </w:r>
    </w:p>
    <w:p w14:paraId="7C67D21A" w14:textId="77777777" w:rsidR="000B1511" w:rsidRPr="006806E8" w:rsidRDefault="000B1511" w:rsidP="000B1511">
      <w:pPr>
        <w:pStyle w:val="ListParagraph"/>
        <w:numPr>
          <w:ilvl w:val="1"/>
          <w:numId w:val="7"/>
        </w:numPr>
        <w:spacing w:after="0" w:line="240" w:lineRule="auto"/>
        <w:ind w:left="1440"/>
        <w:rPr>
          <w:sz w:val="21"/>
          <w:szCs w:val="21"/>
        </w:rPr>
      </w:pPr>
      <w:r w:rsidRPr="006806E8">
        <w:rPr>
          <w:sz w:val="21"/>
          <w:szCs w:val="21"/>
        </w:rPr>
        <w:t>Time-slip wages to help collect or analyze data</w:t>
      </w:r>
    </w:p>
    <w:p w14:paraId="35F41799" w14:textId="53509E8B" w:rsidR="000B1511" w:rsidRPr="006806E8" w:rsidRDefault="000B1511" w:rsidP="000B1511">
      <w:pPr>
        <w:pStyle w:val="ListParagraph"/>
        <w:numPr>
          <w:ilvl w:val="1"/>
          <w:numId w:val="7"/>
        </w:numPr>
        <w:spacing w:after="0" w:line="240" w:lineRule="auto"/>
        <w:ind w:left="1440"/>
        <w:rPr>
          <w:sz w:val="21"/>
          <w:szCs w:val="21"/>
        </w:rPr>
      </w:pPr>
      <w:r w:rsidRPr="006806E8">
        <w:rPr>
          <w:sz w:val="21"/>
          <w:szCs w:val="21"/>
        </w:rPr>
        <w:t xml:space="preserve">Faculty salary – for CVM faculty or </w:t>
      </w:r>
      <w:r w:rsidR="005C790A" w:rsidRPr="006806E8">
        <w:rPr>
          <w:sz w:val="21"/>
          <w:szCs w:val="21"/>
        </w:rPr>
        <w:t xml:space="preserve">WSU </w:t>
      </w:r>
      <w:r w:rsidRPr="006806E8">
        <w:rPr>
          <w:sz w:val="21"/>
          <w:szCs w:val="21"/>
        </w:rPr>
        <w:t>collaborators with 9 month or &lt;1.0 FTE appointments only.</w:t>
      </w:r>
    </w:p>
    <w:p w14:paraId="703A0EA3" w14:textId="77777777" w:rsidR="005F64EB" w:rsidRPr="006806E8" w:rsidRDefault="009227CE" w:rsidP="009227CE">
      <w:pPr>
        <w:pStyle w:val="ListParagraph"/>
        <w:numPr>
          <w:ilvl w:val="0"/>
          <w:numId w:val="7"/>
        </w:numPr>
        <w:spacing w:after="0" w:line="240" w:lineRule="auto"/>
        <w:ind w:left="720"/>
        <w:rPr>
          <w:sz w:val="21"/>
          <w:szCs w:val="21"/>
        </w:rPr>
      </w:pPr>
      <w:r w:rsidRPr="006806E8">
        <w:rPr>
          <w:sz w:val="21"/>
          <w:szCs w:val="21"/>
        </w:rPr>
        <w:t xml:space="preserve">Supplies and </w:t>
      </w:r>
      <w:r w:rsidR="005A41F4" w:rsidRPr="006806E8">
        <w:rPr>
          <w:sz w:val="21"/>
          <w:szCs w:val="21"/>
        </w:rPr>
        <w:t xml:space="preserve">equipment </w:t>
      </w:r>
      <w:r w:rsidR="002222A7" w:rsidRPr="006806E8">
        <w:rPr>
          <w:sz w:val="21"/>
          <w:szCs w:val="21"/>
        </w:rPr>
        <w:br/>
      </w:r>
      <w:r w:rsidR="002222A7" w:rsidRPr="006806E8">
        <w:rPr>
          <w:i/>
          <w:sz w:val="21"/>
          <w:szCs w:val="21"/>
        </w:rPr>
        <w:t xml:space="preserve">Requests for computers or other electronic equipment must be very clearly justified as essential to the project. These funds </w:t>
      </w:r>
      <w:proofErr w:type="gramStart"/>
      <w:r w:rsidR="002222A7" w:rsidRPr="006806E8">
        <w:rPr>
          <w:i/>
          <w:sz w:val="21"/>
          <w:szCs w:val="21"/>
        </w:rPr>
        <w:t>are not inte</w:t>
      </w:r>
      <w:bookmarkStart w:id="1" w:name="_GoBack"/>
      <w:bookmarkEnd w:id="1"/>
      <w:r w:rsidR="002222A7" w:rsidRPr="006806E8">
        <w:rPr>
          <w:i/>
          <w:sz w:val="21"/>
          <w:szCs w:val="21"/>
        </w:rPr>
        <w:t>nded</w:t>
      </w:r>
      <w:proofErr w:type="gramEnd"/>
      <w:r w:rsidR="002222A7" w:rsidRPr="006806E8">
        <w:rPr>
          <w:i/>
          <w:sz w:val="21"/>
          <w:szCs w:val="21"/>
        </w:rPr>
        <w:t xml:space="preserve"> to purchase equipment that should be provided by the department, school, or college.  </w:t>
      </w:r>
    </w:p>
    <w:p w14:paraId="7E507D0B" w14:textId="77777777" w:rsidR="009227CE" w:rsidRPr="006806E8" w:rsidRDefault="005F64EB" w:rsidP="009227CE">
      <w:pPr>
        <w:pStyle w:val="ListParagraph"/>
        <w:numPr>
          <w:ilvl w:val="0"/>
          <w:numId w:val="7"/>
        </w:numPr>
        <w:spacing w:after="0" w:line="240" w:lineRule="auto"/>
        <w:ind w:left="720"/>
        <w:rPr>
          <w:sz w:val="21"/>
          <w:szCs w:val="21"/>
        </w:rPr>
      </w:pPr>
      <w:r w:rsidRPr="006806E8">
        <w:rPr>
          <w:sz w:val="21"/>
          <w:szCs w:val="21"/>
        </w:rPr>
        <w:t>Books/reference materials/testing materials used in research</w:t>
      </w:r>
    </w:p>
    <w:p w14:paraId="70DA1CAF" w14:textId="77777777" w:rsidR="009227CE" w:rsidRPr="006806E8" w:rsidRDefault="009227CE" w:rsidP="009227CE">
      <w:pPr>
        <w:pStyle w:val="ListParagraph"/>
        <w:numPr>
          <w:ilvl w:val="0"/>
          <w:numId w:val="7"/>
        </w:numPr>
        <w:spacing w:after="0" w:line="240" w:lineRule="auto"/>
        <w:ind w:left="720"/>
        <w:rPr>
          <w:sz w:val="21"/>
          <w:szCs w:val="21"/>
        </w:rPr>
      </w:pPr>
      <w:r w:rsidRPr="006806E8">
        <w:rPr>
          <w:sz w:val="21"/>
          <w:szCs w:val="21"/>
        </w:rPr>
        <w:t>Stipends for research subjects if applicable</w:t>
      </w:r>
    </w:p>
    <w:p w14:paraId="7A8B51FE" w14:textId="77777777" w:rsidR="009227CE" w:rsidRPr="006806E8" w:rsidRDefault="009227CE" w:rsidP="009227CE">
      <w:pPr>
        <w:pStyle w:val="ListParagraph"/>
        <w:numPr>
          <w:ilvl w:val="0"/>
          <w:numId w:val="7"/>
        </w:numPr>
        <w:spacing w:after="0" w:line="240" w:lineRule="auto"/>
        <w:ind w:left="720"/>
        <w:rPr>
          <w:sz w:val="21"/>
          <w:szCs w:val="21"/>
        </w:rPr>
      </w:pPr>
      <w:r w:rsidRPr="006806E8">
        <w:rPr>
          <w:sz w:val="21"/>
          <w:szCs w:val="21"/>
        </w:rPr>
        <w:t>Other research costs, including faculty summer pay</w:t>
      </w:r>
      <w:r w:rsidR="0041202D" w:rsidRPr="006806E8">
        <w:rPr>
          <w:sz w:val="21"/>
          <w:szCs w:val="21"/>
        </w:rPr>
        <w:t xml:space="preserve"> and publication costs</w:t>
      </w:r>
    </w:p>
    <w:p w14:paraId="4DD5772E" w14:textId="77777777" w:rsidR="009227CE" w:rsidRPr="006806E8" w:rsidRDefault="009227CE" w:rsidP="009227CE">
      <w:pPr>
        <w:pStyle w:val="ListParagraph"/>
        <w:numPr>
          <w:ilvl w:val="0"/>
          <w:numId w:val="7"/>
        </w:numPr>
        <w:spacing w:after="0" w:line="240" w:lineRule="auto"/>
        <w:ind w:left="720"/>
        <w:rPr>
          <w:sz w:val="21"/>
          <w:szCs w:val="21"/>
        </w:rPr>
      </w:pPr>
      <w:r w:rsidRPr="006806E8">
        <w:rPr>
          <w:sz w:val="21"/>
          <w:szCs w:val="21"/>
        </w:rPr>
        <w:t>Travel for research purposes, e.g., travel to collect data</w:t>
      </w:r>
    </w:p>
    <w:p w14:paraId="114A0DEF" w14:textId="77777777" w:rsidR="009227CE" w:rsidRDefault="009227CE" w:rsidP="009227CE">
      <w:pPr>
        <w:spacing w:after="0" w:line="240" w:lineRule="auto"/>
      </w:pPr>
    </w:p>
    <w:p w14:paraId="610544B7" w14:textId="77777777" w:rsidR="009227CE" w:rsidRPr="008E03F3" w:rsidRDefault="009227CE" w:rsidP="009227CE">
      <w:pPr>
        <w:ind w:firstLine="360"/>
        <w:rPr>
          <w:sz w:val="24"/>
        </w:rPr>
      </w:pPr>
      <w:r w:rsidRPr="008E03F3">
        <w:rPr>
          <w:b/>
          <w:sz w:val="24"/>
        </w:rPr>
        <w:t>More specifics:</w:t>
      </w:r>
    </w:p>
    <w:p w14:paraId="222A17D8" w14:textId="77777777" w:rsidR="009227CE" w:rsidRPr="006806E8" w:rsidRDefault="009227CE" w:rsidP="009227CE">
      <w:pPr>
        <w:pStyle w:val="ListParagraph"/>
        <w:numPr>
          <w:ilvl w:val="0"/>
          <w:numId w:val="7"/>
        </w:numPr>
        <w:spacing w:after="0" w:line="240" w:lineRule="auto"/>
        <w:ind w:left="720"/>
        <w:rPr>
          <w:sz w:val="21"/>
          <w:szCs w:val="21"/>
        </w:rPr>
      </w:pPr>
      <w:r w:rsidRPr="006806E8">
        <w:rPr>
          <w:sz w:val="21"/>
          <w:szCs w:val="21"/>
        </w:rPr>
        <w:t xml:space="preserve">Support of graduate student research is </w:t>
      </w:r>
      <w:r w:rsidRPr="006806E8">
        <w:rPr>
          <w:b/>
          <w:sz w:val="21"/>
          <w:szCs w:val="21"/>
        </w:rPr>
        <w:t>not</w:t>
      </w:r>
      <w:r w:rsidRPr="006806E8">
        <w:rPr>
          <w:sz w:val="21"/>
          <w:szCs w:val="21"/>
        </w:rPr>
        <w:t xml:space="preserve"> eligible for these funds.  (We hope to develop a </w:t>
      </w:r>
      <w:r w:rsidR="00BE1715" w:rsidRPr="006806E8">
        <w:rPr>
          <w:sz w:val="21"/>
          <w:szCs w:val="21"/>
        </w:rPr>
        <w:t xml:space="preserve">future </w:t>
      </w:r>
      <w:r w:rsidRPr="006806E8">
        <w:rPr>
          <w:sz w:val="21"/>
          <w:szCs w:val="21"/>
        </w:rPr>
        <w:t>separate/parallel program for this purpose.)</w:t>
      </w:r>
    </w:p>
    <w:p w14:paraId="43E17A82" w14:textId="77777777" w:rsidR="009227CE" w:rsidRPr="006806E8" w:rsidRDefault="009227CE" w:rsidP="009227CE">
      <w:pPr>
        <w:pStyle w:val="ListParagraph"/>
        <w:numPr>
          <w:ilvl w:val="0"/>
          <w:numId w:val="7"/>
        </w:numPr>
        <w:spacing w:after="0" w:line="240" w:lineRule="auto"/>
        <w:ind w:left="720"/>
        <w:rPr>
          <w:sz w:val="21"/>
          <w:szCs w:val="21"/>
        </w:rPr>
      </w:pPr>
      <w:r w:rsidRPr="006806E8">
        <w:rPr>
          <w:sz w:val="21"/>
          <w:szCs w:val="21"/>
        </w:rPr>
        <w:t xml:space="preserve">Support for travel to conferences is </w:t>
      </w:r>
      <w:r w:rsidRPr="006806E8">
        <w:rPr>
          <w:b/>
          <w:sz w:val="21"/>
          <w:szCs w:val="21"/>
        </w:rPr>
        <w:t>not</w:t>
      </w:r>
      <w:r w:rsidRPr="006806E8">
        <w:rPr>
          <w:sz w:val="21"/>
          <w:szCs w:val="21"/>
        </w:rPr>
        <w:t xml:space="preserve"> eligible for these funds.  (Active CVM Teaching Academy members may apply for TA Travel Grants for this purpose.)</w:t>
      </w:r>
    </w:p>
    <w:p w14:paraId="3C259A2E" w14:textId="77777777" w:rsidR="009227CE" w:rsidRPr="006806E8" w:rsidRDefault="009227CE" w:rsidP="009227CE">
      <w:pPr>
        <w:pStyle w:val="ListParagraph"/>
        <w:numPr>
          <w:ilvl w:val="0"/>
          <w:numId w:val="7"/>
        </w:numPr>
        <w:spacing w:after="0" w:line="240" w:lineRule="auto"/>
        <w:ind w:left="720"/>
        <w:rPr>
          <w:sz w:val="21"/>
          <w:szCs w:val="21"/>
        </w:rPr>
      </w:pPr>
      <w:r w:rsidRPr="006806E8">
        <w:rPr>
          <w:sz w:val="21"/>
          <w:szCs w:val="21"/>
        </w:rPr>
        <w:t>You must have the endorsement of your department chair/unit director.</w:t>
      </w:r>
    </w:p>
    <w:p w14:paraId="09989F18" w14:textId="77777777" w:rsidR="009227CE" w:rsidRPr="006806E8" w:rsidRDefault="009227CE" w:rsidP="00317CF8">
      <w:pPr>
        <w:pStyle w:val="ListParagraph"/>
        <w:numPr>
          <w:ilvl w:val="0"/>
          <w:numId w:val="7"/>
        </w:numPr>
        <w:spacing w:after="0" w:line="240" w:lineRule="auto"/>
        <w:ind w:left="720"/>
        <w:rPr>
          <w:b/>
          <w:sz w:val="21"/>
          <w:szCs w:val="21"/>
        </w:rPr>
      </w:pPr>
      <w:r w:rsidRPr="006806E8">
        <w:rPr>
          <w:sz w:val="21"/>
          <w:szCs w:val="21"/>
        </w:rPr>
        <w:t>Any proposal that includes compensation (summer salary, wages for hourly help, etc.) must include budget for fringe benefits that fits within the award limits above.  If you need assistance estimating benefits, please contact your departmental fiscal officer or consult with the CVM fiscal office.</w:t>
      </w:r>
    </w:p>
    <w:p w14:paraId="3F1C2107" w14:textId="77777777" w:rsidR="00225968" w:rsidRPr="00225968" w:rsidRDefault="00225968" w:rsidP="00225968">
      <w:pPr>
        <w:spacing w:after="0" w:line="240" w:lineRule="auto"/>
        <w:rPr>
          <w:b/>
        </w:rPr>
      </w:pPr>
      <w:r w:rsidRPr="00225968">
        <w:rPr>
          <w:b/>
          <w:noProof/>
        </w:rPr>
        <mc:AlternateContent>
          <mc:Choice Requires="wps">
            <w:drawing>
              <wp:anchor distT="0" distB="0" distL="114300" distR="114300" simplePos="0" relativeHeight="251659264" behindDoc="0" locked="0" layoutInCell="1" allowOverlap="1" wp14:anchorId="352BE40F" wp14:editId="6FD8D71B">
                <wp:simplePos x="0" y="0"/>
                <wp:positionH relativeFrom="column">
                  <wp:posOffset>213261</wp:posOffset>
                </wp:positionH>
                <wp:positionV relativeFrom="paragraph">
                  <wp:posOffset>142182</wp:posOffset>
                </wp:positionV>
                <wp:extent cx="5872348" cy="1822862"/>
                <wp:effectExtent l="19050" t="19050" r="1460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348" cy="1822862"/>
                        </a:xfrm>
                        <a:prstGeom prst="rect">
                          <a:avLst/>
                        </a:prstGeom>
                        <a:solidFill>
                          <a:srgbClr val="FFFFFF"/>
                        </a:solidFill>
                        <a:ln w="38100" cmpd="thickThin">
                          <a:solidFill>
                            <a:srgbClr val="000000"/>
                          </a:solidFill>
                          <a:miter lim="800000"/>
                          <a:headEnd/>
                          <a:tailEnd/>
                        </a:ln>
                      </wps:spPr>
                      <wps:txbx>
                        <w:txbxContent>
                          <w:p w14:paraId="2174936B" w14:textId="2BA2CCE4" w:rsidR="00225968" w:rsidRDefault="00225968" w:rsidP="00225968">
                            <w:pPr>
                              <w:rPr>
                                <w:b/>
                                <w:sz w:val="28"/>
                                <w:szCs w:val="24"/>
                              </w:rPr>
                            </w:pPr>
                            <w:r w:rsidRPr="00BE489E">
                              <w:rPr>
                                <w:b/>
                                <w:sz w:val="26"/>
                                <w:szCs w:val="26"/>
                              </w:rPr>
                              <w:t>For more information, go to the ERG web page on the CVM Teaching Academy’s internal web site.</w:t>
                            </w:r>
                            <w:r>
                              <w:rPr>
                                <w:b/>
                                <w:sz w:val="28"/>
                                <w:szCs w:val="24"/>
                              </w:rPr>
                              <w:t xml:space="preserve">  </w:t>
                            </w:r>
                            <w:hyperlink r:id="rId8" w:history="1">
                              <w:r w:rsidR="006806E8" w:rsidRPr="00AD3EF6">
                                <w:rPr>
                                  <w:rStyle w:val="Hyperlink"/>
                                </w:rPr>
                                <w:t>http://www.vetmed.wsu.edu/innovativ</w:t>
                              </w:r>
                              <w:r w:rsidR="006806E8" w:rsidRPr="00AD3EF6">
                                <w:rPr>
                                  <w:rStyle w:val="Hyperlink"/>
                                </w:rPr>
                                <w:t>e</w:t>
                              </w:r>
                              <w:r w:rsidR="006806E8" w:rsidRPr="00AD3EF6">
                                <w:rPr>
                                  <w:rStyle w:val="Hyperlink"/>
                                </w:rPr>
                                <w:t>-education/teaching-academy/programs/educational-research-grant-intramural-program</w:t>
                              </w:r>
                            </w:hyperlink>
                            <w:r w:rsidR="006806E8">
                              <w:t xml:space="preserve"> </w:t>
                            </w:r>
                          </w:p>
                          <w:p w14:paraId="104833D6" w14:textId="77777777" w:rsidR="00225968" w:rsidRPr="00225968" w:rsidRDefault="00225968" w:rsidP="00225968">
                            <w:pPr>
                              <w:rPr>
                                <w:b/>
                                <w:sz w:val="24"/>
                                <w:szCs w:val="24"/>
                              </w:rPr>
                            </w:pPr>
                            <w:r w:rsidRPr="00255408">
                              <w:rPr>
                                <w:b/>
                                <w:sz w:val="28"/>
                                <w:szCs w:val="24"/>
                              </w:rPr>
                              <w:t xml:space="preserve">    </w:t>
                            </w:r>
                            <w:r w:rsidRPr="00225968">
                              <w:rPr>
                                <w:b/>
                                <w:sz w:val="24"/>
                                <w:szCs w:val="24"/>
                              </w:rPr>
                              <w:t xml:space="preserve">There you will find </w:t>
                            </w:r>
                          </w:p>
                          <w:p w14:paraId="3CF9428D" w14:textId="77777777" w:rsidR="00225968" w:rsidRPr="00225968" w:rsidRDefault="00225968" w:rsidP="00225968">
                            <w:pPr>
                              <w:pStyle w:val="ListParagraph"/>
                              <w:numPr>
                                <w:ilvl w:val="0"/>
                                <w:numId w:val="23"/>
                              </w:numPr>
                              <w:rPr>
                                <w:sz w:val="20"/>
                              </w:rPr>
                            </w:pPr>
                            <w:r w:rsidRPr="00225968">
                              <w:rPr>
                                <w:b/>
                                <w:szCs w:val="24"/>
                              </w:rPr>
                              <w:t>Proposal format / instructions</w:t>
                            </w:r>
                          </w:p>
                          <w:p w14:paraId="417B02B3" w14:textId="77777777" w:rsidR="00225968" w:rsidRPr="00225968" w:rsidRDefault="00225968" w:rsidP="00225968">
                            <w:pPr>
                              <w:pStyle w:val="ListParagraph"/>
                              <w:numPr>
                                <w:ilvl w:val="0"/>
                                <w:numId w:val="23"/>
                              </w:numPr>
                              <w:rPr>
                                <w:sz w:val="20"/>
                              </w:rPr>
                            </w:pPr>
                            <w:r w:rsidRPr="00225968">
                              <w:rPr>
                                <w:b/>
                                <w:szCs w:val="24"/>
                              </w:rPr>
                              <w:t>Review criteria / Score sheet</w:t>
                            </w:r>
                          </w:p>
                          <w:p w14:paraId="272360F3" w14:textId="77777777" w:rsidR="00225968" w:rsidRDefault="00225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BE40F" id="_x0000_t202" coordsize="21600,21600" o:spt="202" path="m,l,21600r21600,l21600,xe">
                <v:stroke joinstyle="miter"/>
                <v:path gradientshapeok="t" o:connecttype="rect"/>
              </v:shapetype>
              <v:shape id="Text Box 2" o:spid="_x0000_s1026" type="#_x0000_t202" style="position:absolute;margin-left:16.8pt;margin-top:11.2pt;width:462.4pt;height:1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" strokeweight="3pt">
                <v:stroke linestyle="thickThin"/>
                <v:textbox>
                  <w:txbxContent>
                    <w:p w14:paraId="2174936B" w14:textId="2BA2CCE4" w:rsidR="00225968" w:rsidRDefault="00225968" w:rsidP="00225968">
                      <w:pPr>
                        <w:rPr>
                          <w:b/>
                          <w:sz w:val="28"/>
                          <w:szCs w:val="24"/>
                        </w:rPr>
                      </w:pPr>
                      <w:r w:rsidRPr="00BE489E">
                        <w:rPr>
                          <w:b/>
                          <w:sz w:val="26"/>
                          <w:szCs w:val="26"/>
                        </w:rPr>
                        <w:t>For more information, go to the ERG web page on the CVM Teaching Academy’s internal web site.</w:t>
                      </w:r>
                      <w:r>
                        <w:rPr>
                          <w:b/>
                          <w:sz w:val="28"/>
                          <w:szCs w:val="24"/>
                        </w:rPr>
                        <w:t xml:space="preserve">  </w:t>
                      </w:r>
                      <w:hyperlink r:id="rId9" w:history="1">
                        <w:r w:rsidR="006806E8" w:rsidRPr="00AD3EF6">
                          <w:rPr>
                            <w:rStyle w:val="Hyperlink"/>
                          </w:rPr>
                          <w:t>http://www.vetmed.wsu.edu/innovativ</w:t>
                        </w:r>
                        <w:r w:rsidR="006806E8" w:rsidRPr="00AD3EF6">
                          <w:rPr>
                            <w:rStyle w:val="Hyperlink"/>
                          </w:rPr>
                          <w:t>e</w:t>
                        </w:r>
                        <w:r w:rsidR="006806E8" w:rsidRPr="00AD3EF6">
                          <w:rPr>
                            <w:rStyle w:val="Hyperlink"/>
                          </w:rPr>
                          <w:t>-education/teaching-academy/programs/educational-research-grant-intramural-program</w:t>
                        </w:r>
                      </w:hyperlink>
                      <w:r w:rsidR="006806E8">
                        <w:t xml:space="preserve"> </w:t>
                      </w:r>
                    </w:p>
                    <w:p w14:paraId="104833D6" w14:textId="77777777" w:rsidR="00225968" w:rsidRPr="00225968" w:rsidRDefault="00225968" w:rsidP="00225968">
                      <w:pPr>
                        <w:rPr>
                          <w:b/>
                          <w:sz w:val="24"/>
                          <w:szCs w:val="24"/>
                        </w:rPr>
                      </w:pPr>
                      <w:r w:rsidRPr="00255408">
                        <w:rPr>
                          <w:b/>
                          <w:sz w:val="28"/>
                          <w:szCs w:val="24"/>
                        </w:rPr>
                        <w:t xml:space="preserve">    </w:t>
                      </w:r>
                      <w:r w:rsidRPr="00225968">
                        <w:rPr>
                          <w:b/>
                          <w:sz w:val="24"/>
                          <w:szCs w:val="24"/>
                        </w:rPr>
                        <w:t xml:space="preserve">There you will find </w:t>
                      </w:r>
                    </w:p>
                    <w:p w14:paraId="3CF9428D" w14:textId="77777777" w:rsidR="00225968" w:rsidRPr="00225968" w:rsidRDefault="00225968" w:rsidP="00225968">
                      <w:pPr>
                        <w:pStyle w:val="ListParagraph"/>
                        <w:numPr>
                          <w:ilvl w:val="0"/>
                          <w:numId w:val="23"/>
                        </w:numPr>
                        <w:rPr>
                          <w:sz w:val="20"/>
                        </w:rPr>
                      </w:pPr>
                      <w:r w:rsidRPr="00225968">
                        <w:rPr>
                          <w:b/>
                          <w:szCs w:val="24"/>
                        </w:rPr>
                        <w:t>Proposal format / instructions</w:t>
                      </w:r>
                    </w:p>
                    <w:p w14:paraId="417B02B3" w14:textId="77777777" w:rsidR="00225968" w:rsidRPr="00225968" w:rsidRDefault="00225968" w:rsidP="00225968">
                      <w:pPr>
                        <w:pStyle w:val="ListParagraph"/>
                        <w:numPr>
                          <w:ilvl w:val="0"/>
                          <w:numId w:val="23"/>
                        </w:numPr>
                        <w:rPr>
                          <w:sz w:val="20"/>
                        </w:rPr>
                      </w:pPr>
                      <w:r w:rsidRPr="00225968">
                        <w:rPr>
                          <w:b/>
                          <w:szCs w:val="24"/>
                        </w:rPr>
                        <w:t>Review criteria / Score sheet</w:t>
                      </w:r>
                    </w:p>
                    <w:p w14:paraId="272360F3" w14:textId="77777777" w:rsidR="00225968" w:rsidRDefault="00225968"/>
                  </w:txbxContent>
                </v:textbox>
              </v:shape>
            </w:pict>
          </mc:Fallback>
        </mc:AlternateContent>
      </w:r>
    </w:p>
    <w:sectPr w:rsidR="00225968" w:rsidRPr="00225968" w:rsidSect="00682C65">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9EA2" w14:textId="77777777" w:rsidR="003276E6" w:rsidRDefault="003276E6" w:rsidP="002222A7">
      <w:pPr>
        <w:spacing w:after="0" w:line="240" w:lineRule="auto"/>
      </w:pPr>
      <w:r>
        <w:separator/>
      </w:r>
    </w:p>
  </w:endnote>
  <w:endnote w:type="continuationSeparator" w:id="0">
    <w:p w14:paraId="6C826C91" w14:textId="77777777" w:rsidR="003276E6" w:rsidRDefault="003276E6" w:rsidP="0022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AC18" w14:textId="6781C843" w:rsidR="00D572D1" w:rsidRDefault="00CD7D9C">
    <w:pPr>
      <w:pStyle w:val="Footer"/>
      <w:jc w:val="center"/>
    </w:pPr>
    <w:r>
      <w:fldChar w:fldCharType="begin"/>
    </w:r>
    <w:r w:rsidR="00D572D1">
      <w:instrText xml:space="preserve"> PAGE   \* MERGEFORMAT </w:instrText>
    </w:r>
    <w:r>
      <w:fldChar w:fldCharType="separate"/>
    </w:r>
    <w:r w:rsidR="004D6C36">
      <w:rPr>
        <w:noProof/>
      </w:rPr>
      <w:t>1</w:t>
    </w:r>
    <w:r>
      <w:rPr>
        <w:noProof/>
      </w:rPr>
      <w:fldChar w:fldCharType="end"/>
    </w:r>
  </w:p>
  <w:p w14:paraId="28C2D981" w14:textId="77777777" w:rsidR="00D572D1" w:rsidRDefault="00D5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FA91D" w14:textId="77777777" w:rsidR="003276E6" w:rsidRDefault="003276E6" w:rsidP="002222A7">
      <w:pPr>
        <w:spacing w:after="0" w:line="240" w:lineRule="auto"/>
      </w:pPr>
      <w:r>
        <w:separator/>
      </w:r>
    </w:p>
  </w:footnote>
  <w:footnote w:type="continuationSeparator" w:id="0">
    <w:p w14:paraId="758DC3CB" w14:textId="77777777" w:rsidR="003276E6" w:rsidRDefault="003276E6" w:rsidP="0022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9AA6" w14:textId="77777777" w:rsidR="00D572D1" w:rsidRPr="00682C65" w:rsidRDefault="00F30B48" w:rsidP="00682C65">
    <w:pPr>
      <w:pStyle w:val="Header"/>
      <w:jc w:val="right"/>
      <w:rPr>
        <w:sz w:val="18"/>
      </w:rPr>
    </w:pPr>
    <w:r>
      <w:rPr>
        <w:sz w:val="18"/>
      </w:rPr>
      <w:t>WSU CVM Educational Research Grants: Request for Proposals</w:t>
    </w:r>
  </w:p>
  <w:p w14:paraId="524EC146" w14:textId="77777777" w:rsidR="00D572D1" w:rsidRDefault="00D572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33A"/>
    <w:multiLevelType w:val="hybridMultilevel"/>
    <w:tmpl w:val="AD74DC40"/>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053F"/>
    <w:multiLevelType w:val="hybridMultilevel"/>
    <w:tmpl w:val="D118427A"/>
    <w:lvl w:ilvl="0" w:tplc="0C603E48">
      <w:numFmt w:val="bullet"/>
      <w:lvlText w:val="–"/>
      <w:lvlJc w:val="left"/>
      <w:pPr>
        <w:ind w:left="1125"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C99"/>
    <w:multiLevelType w:val="hybridMultilevel"/>
    <w:tmpl w:val="A6583172"/>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F59D4"/>
    <w:multiLevelType w:val="hybridMultilevel"/>
    <w:tmpl w:val="B8A4DD9A"/>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B0EAB"/>
    <w:multiLevelType w:val="hybridMultilevel"/>
    <w:tmpl w:val="B8FAFA0E"/>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76C8E"/>
    <w:multiLevelType w:val="hybridMultilevel"/>
    <w:tmpl w:val="973C47BA"/>
    <w:lvl w:ilvl="0" w:tplc="04090013">
      <w:start w:val="1"/>
      <w:numFmt w:val="upperRoman"/>
      <w:lvlText w:val="%1."/>
      <w:lvlJc w:val="right"/>
      <w:pPr>
        <w:ind w:left="720" w:hanging="360"/>
      </w:pPr>
      <w:rPr>
        <w:rFonts w:hint="default"/>
        <w:b/>
        <w:i w:val="0"/>
        <w:color w:val="00000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7406D"/>
    <w:multiLevelType w:val="hybridMultilevel"/>
    <w:tmpl w:val="C9E4A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73130E"/>
    <w:multiLevelType w:val="hybridMultilevel"/>
    <w:tmpl w:val="776AA382"/>
    <w:lvl w:ilvl="0" w:tplc="39BC4020">
      <w:start w:val="1"/>
      <w:numFmt w:val="upperLetter"/>
      <w:lvlText w:val="%1."/>
      <w:lvlJc w:val="left"/>
      <w:pPr>
        <w:ind w:left="720" w:hanging="360"/>
      </w:pPr>
      <w:rPr>
        <w:rFonts w:ascii="Arial" w:hAnsi="Arial" w:hint="default"/>
        <w:b/>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A008C"/>
    <w:multiLevelType w:val="hybridMultilevel"/>
    <w:tmpl w:val="EBC44F90"/>
    <w:lvl w:ilvl="0" w:tplc="0C603E48">
      <w:numFmt w:val="bullet"/>
      <w:lvlText w:val="–"/>
      <w:lvlJc w:val="left"/>
      <w:pPr>
        <w:ind w:left="1125" w:hanging="360"/>
      </w:pPr>
      <w:rPr>
        <w:rFonts w:ascii="Calibri" w:eastAsia="Calibri" w:hAnsi="Calibri" w:cs="Times New Roman"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5C589A"/>
    <w:multiLevelType w:val="hybridMultilevel"/>
    <w:tmpl w:val="21702162"/>
    <w:lvl w:ilvl="0" w:tplc="0409000F">
      <w:start w:val="1"/>
      <w:numFmt w:val="decimal"/>
      <w:lvlText w:val="%1."/>
      <w:lvlJc w:val="left"/>
      <w:pPr>
        <w:ind w:left="207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1A3930"/>
    <w:multiLevelType w:val="hybridMultilevel"/>
    <w:tmpl w:val="531E00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89D69D5"/>
    <w:multiLevelType w:val="hybridMultilevel"/>
    <w:tmpl w:val="A5DA400C"/>
    <w:lvl w:ilvl="0" w:tplc="0E30854A">
      <w:start w:val="1"/>
      <w:numFmt w:val="upperLetter"/>
      <w:lvlText w:val="%1."/>
      <w:lvlJc w:val="left"/>
      <w:pPr>
        <w:ind w:left="720" w:hanging="360"/>
      </w:pPr>
      <w:rPr>
        <w:rFonts w:ascii="Arial" w:hAnsi="Arial" w:hint="default"/>
        <w:b/>
        <w:i w:val="0"/>
        <w:color w:val="00000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4452B"/>
    <w:multiLevelType w:val="hybridMultilevel"/>
    <w:tmpl w:val="8E3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B11BD"/>
    <w:multiLevelType w:val="hybridMultilevel"/>
    <w:tmpl w:val="8182EB72"/>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22FFF"/>
    <w:multiLevelType w:val="hybridMultilevel"/>
    <w:tmpl w:val="0298CC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D49AB"/>
    <w:multiLevelType w:val="hybridMultilevel"/>
    <w:tmpl w:val="BFB0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744EA"/>
    <w:multiLevelType w:val="hybridMultilevel"/>
    <w:tmpl w:val="CA6C447C"/>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206BB"/>
    <w:multiLevelType w:val="hybridMultilevel"/>
    <w:tmpl w:val="4F724890"/>
    <w:lvl w:ilvl="0" w:tplc="B25AD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F412DC"/>
    <w:multiLevelType w:val="hybridMultilevel"/>
    <w:tmpl w:val="5FA6D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0F0173"/>
    <w:multiLevelType w:val="hybridMultilevel"/>
    <w:tmpl w:val="A4EEE17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501A9E"/>
    <w:multiLevelType w:val="multilevel"/>
    <w:tmpl w:val="D15C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B0F49"/>
    <w:multiLevelType w:val="hybridMultilevel"/>
    <w:tmpl w:val="4552C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3D4A10"/>
    <w:multiLevelType w:val="hybridMultilevel"/>
    <w:tmpl w:val="3CCCD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645EB"/>
    <w:multiLevelType w:val="hybridMultilevel"/>
    <w:tmpl w:val="C6BCBBAA"/>
    <w:lvl w:ilvl="0" w:tplc="0C603E48">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7DCC5490"/>
    <w:multiLevelType w:val="hybridMultilevel"/>
    <w:tmpl w:val="AC9C4D86"/>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23"/>
  </w:num>
  <w:num w:numId="4">
    <w:abstractNumId w:val="8"/>
  </w:num>
  <w:num w:numId="5">
    <w:abstractNumId w:val="1"/>
  </w:num>
  <w:num w:numId="6">
    <w:abstractNumId w:val="22"/>
  </w:num>
  <w:num w:numId="7">
    <w:abstractNumId w:val="19"/>
  </w:num>
  <w:num w:numId="8">
    <w:abstractNumId w:val="9"/>
  </w:num>
  <w:num w:numId="9">
    <w:abstractNumId w:val="7"/>
  </w:num>
  <w:num w:numId="10">
    <w:abstractNumId w:val="11"/>
  </w:num>
  <w:num w:numId="11">
    <w:abstractNumId w:val="5"/>
  </w:num>
  <w:num w:numId="12">
    <w:abstractNumId w:val="12"/>
  </w:num>
  <w:num w:numId="13">
    <w:abstractNumId w:val="15"/>
  </w:num>
  <w:num w:numId="14">
    <w:abstractNumId w:val="16"/>
  </w:num>
  <w:num w:numId="15">
    <w:abstractNumId w:val="2"/>
  </w:num>
  <w:num w:numId="16">
    <w:abstractNumId w:val="4"/>
  </w:num>
  <w:num w:numId="17">
    <w:abstractNumId w:val="13"/>
  </w:num>
  <w:num w:numId="18">
    <w:abstractNumId w:val="0"/>
  </w:num>
  <w:num w:numId="19">
    <w:abstractNumId w:val="3"/>
  </w:num>
  <w:num w:numId="20">
    <w:abstractNumId w:val="24"/>
  </w:num>
  <w:num w:numId="21">
    <w:abstractNumId w:val="17"/>
  </w:num>
  <w:num w:numId="22">
    <w:abstractNumId w:val="20"/>
  </w:num>
  <w:num w:numId="23">
    <w:abstractNumId w:val="21"/>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B8"/>
    <w:rsid w:val="00036229"/>
    <w:rsid w:val="00051CB6"/>
    <w:rsid w:val="00091344"/>
    <w:rsid w:val="000A723A"/>
    <w:rsid w:val="000B1511"/>
    <w:rsid w:val="000B1C20"/>
    <w:rsid w:val="000B44AB"/>
    <w:rsid w:val="000C3CEE"/>
    <w:rsid w:val="000F0109"/>
    <w:rsid w:val="00141108"/>
    <w:rsid w:val="001420A4"/>
    <w:rsid w:val="0014775F"/>
    <w:rsid w:val="001759D4"/>
    <w:rsid w:val="001814A5"/>
    <w:rsid w:val="001833D6"/>
    <w:rsid w:val="001917D7"/>
    <w:rsid w:val="001B7815"/>
    <w:rsid w:val="001D2183"/>
    <w:rsid w:val="001E7EAF"/>
    <w:rsid w:val="001F1AD1"/>
    <w:rsid w:val="001F2FCE"/>
    <w:rsid w:val="002222A7"/>
    <w:rsid w:val="00225968"/>
    <w:rsid w:val="00231E91"/>
    <w:rsid w:val="002326CC"/>
    <w:rsid w:val="002351D8"/>
    <w:rsid w:val="00241654"/>
    <w:rsid w:val="00241663"/>
    <w:rsid w:val="00243BFB"/>
    <w:rsid w:val="00251786"/>
    <w:rsid w:val="00255408"/>
    <w:rsid w:val="0026780B"/>
    <w:rsid w:val="00267A88"/>
    <w:rsid w:val="002A0C96"/>
    <w:rsid w:val="002A16E9"/>
    <w:rsid w:val="002A770E"/>
    <w:rsid w:val="002B36B7"/>
    <w:rsid w:val="002D25CF"/>
    <w:rsid w:val="002D45D8"/>
    <w:rsid w:val="002E38C1"/>
    <w:rsid w:val="0031644E"/>
    <w:rsid w:val="00317CF8"/>
    <w:rsid w:val="00325B4A"/>
    <w:rsid w:val="003276E6"/>
    <w:rsid w:val="00340FCD"/>
    <w:rsid w:val="003451D3"/>
    <w:rsid w:val="003628CC"/>
    <w:rsid w:val="00365E9D"/>
    <w:rsid w:val="00366B9B"/>
    <w:rsid w:val="0039651F"/>
    <w:rsid w:val="003A1CDB"/>
    <w:rsid w:val="003A67D4"/>
    <w:rsid w:val="003F6AEF"/>
    <w:rsid w:val="00403DB6"/>
    <w:rsid w:val="0041202D"/>
    <w:rsid w:val="004139ED"/>
    <w:rsid w:val="00420B1A"/>
    <w:rsid w:val="00430238"/>
    <w:rsid w:val="00441C3B"/>
    <w:rsid w:val="00451361"/>
    <w:rsid w:val="00454A97"/>
    <w:rsid w:val="00463FEA"/>
    <w:rsid w:val="004672D6"/>
    <w:rsid w:val="0047583F"/>
    <w:rsid w:val="004842E6"/>
    <w:rsid w:val="00497A4E"/>
    <w:rsid w:val="004A5C13"/>
    <w:rsid w:val="004C706A"/>
    <w:rsid w:val="004D6C36"/>
    <w:rsid w:val="004E2069"/>
    <w:rsid w:val="005015EE"/>
    <w:rsid w:val="00510E29"/>
    <w:rsid w:val="005256E7"/>
    <w:rsid w:val="0052667B"/>
    <w:rsid w:val="00545EA9"/>
    <w:rsid w:val="005504BE"/>
    <w:rsid w:val="00593CC5"/>
    <w:rsid w:val="005A41F4"/>
    <w:rsid w:val="005B1F3D"/>
    <w:rsid w:val="005C790A"/>
    <w:rsid w:val="005D67EC"/>
    <w:rsid w:val="005E1EB5"/>
    <w:rsid w:val="005E47BD"/>
    <w:rsid w:val="005F64EB"/>
    <w:rsid w:val="005F6B14"/>
    <w:rsid w:val="00621AD1"/>
    <w:rsid w:val="00624B08"/>
    <w:rsid w:val="006275AB"/>
    <w:rsid w:val="006416BF"/>
    <w:rsid w:val="00656A59"/>
    <w:rsid w:val="00673629"/>
    <w:rsid w:val="006806E8"/>
    <w:rsid w:val="00681C52"/>
    <w:rsid w:val="00682C65"/>
    <w:rsid w:val="00684FE4"/>
    <w:rsid w:val="00690BD2"/>
    <w:rsid w:val="006954D7"/>
    <w:rsid w:val="006A050E"/>
    <w:rsid w:val="006E0201"/>
    <w:rsid w:val="006F128F"/>
    <w:rsid w:val="00704ABF"/>
    <w:rsid w:val="00706D56"/>
    <w:rsid w:val="0071033C"/>
    <w:rsid w:val="00711D73"/>
    <w:rsid w:val="00735F48"/>
    <w:rsid w:val="007375A7"/>
    <w:rsid w:val="00744A92"/>
    <w:rsid w:val="00762CB2"/>
    <w:rsid w:val="00763F74"/>
    <w:rsid w:val="007752A2"/>
    <w:rsid w:val="0078410E"/>
    <w:rsid w:val="00786538"/>
    <w:rsid w:val="00786F3C"/>
    <w:rsid w:val="007A3E03"/>
    <w:rsid w:val="007B74C9"/>
    <w:rsid w:val="00842C98"/>
    <w:rsid w:val="00846A56"/>
    <w:rsid w:val="008510AF"/>
    <w:rsid w:val="00875E6D"/>
    <w:rsid w:val="00883914"/>
    <w:rsid w:val="00895AB8"/>
    <w:rsid w:val="008C29E5"/>
    <w:rsid w:val="008D74F5"/>
    <w:rsid w:val="008D79E7"/>
    <w:rsid w:val="008D7D80"/>
    <w:rsid w:val="008E03F3"/>
    <w:rsid w:val="008E3863"/>
    <w:rsid w:val="008E39AE"/>
    <w:rsid w:val="008F14C3"/>
    <w:rsid w:val="008F43D2"/>
    <w:rsid w:val="008F5A9D"/>
    <w:rsid w:val="008F6BF5"/>
    <w:rsid w:val="009108C4"/>
    <w:rsid w:val="009227CE"/>
    <w:rsid w:val="009407DC"/>
    <w:rsid w:val="0096109A"/>
    <w:rsid w:val="00967380"/>
    <w:rsid w:val="00967A12"/>
    <w:rsid w:val="00975A4B"/>
    <w:rsid w:val="00990927"/>
    <w:rsid w:val="00991590"/>
    <w:rsid w:val="00996DBB"/>
    <w:rsid w:val="00997D97"/>
    <w:rsid w:val="009A31AC"/>
    <w:rsid w:val="009A4F20"/>
    <w:rsid w:val="009B1B14"/>
    <w:rsid w:val="009C530D"/>
    <w:rsid w:val="009D5A6D"/>
    <w:rsid w:val="009E4B7B"/>
    <w:rsid w:val="00A21326"/>
    <w:rsid w:val="00A24AB0"/>
    <w:rsid w:val="00A45547"/>
    <w:rsid w:val="00A8123E"/>
    <w:rsid w:val="00A818CF"/>
    <w:rsid w:val="00A87FDB"/>
    <w:rsid w:val="00AC011E"/>
    <w:rsid w:val="00AF0299"/>
    <w:rsid w:val="00B031C4"/>
    <w:rsid w:val="00B06CE6"/>
    <w:rsid w:val="00B37714"/>
    <w:rsid w:val="00BA230E"/>
    <w:rsid w:val="00BA56D9"/>
    <w:rsid w:val="00BB56AA"/>
    <w:rsid w:val="00BC4D36"/>
    <w:rsid w:val="00BC504C"/>
    <w:rsid w:val="00BC7B98"/>
    <w:rsid w:val="00BE1715"/>
    <w:rsid w:val="00BE1718"/>
    <w:rsid w:val="00BE489E"/>
    <w:rsid w:val="00C06848"/>
    <w:rsid w:val="00C1174A"/>
    <w:rsid w:val="00C27766"/>
    <w:rsid w:val="00C40DA5"/>
    <w:rsid w:val="00C6224C"/>
    <w:rsid w:val="00C85544"/>
    <w:rsid w:val="00CA4BFA"/>
    <w:rsid w:val="00CC3B0D"/>
    <w:rsid w:val="00CD3BD4"/>
    <w:rsid w:val="00CD7D9C"/>
    <w:rsid w:val="00CE007D"/>
    <w:rsid w:val="00D073BB"/>
    <w:rsid w:val="00D2140B"/>
    <w:rsid w:val="00D35DCB"/>
    <w:rsid w:val="00D371AB"/>
    <w:rsid w:val="00D37852"/>
    <w:rsid w:val="00D572D1"/>
    <w:rsid w:val="00D61218"/>
    <w:rsid w:val="00D631E7"/>
    <w:rsid w:val="00D8413F"/>
    <w:rsid w:val="00D96E57"/>
    <w:rsid w:val="00DB0F41"/>
    <w:rsid w:val="00DB25AC"/>
    <w:rsid w:val="00DF1F9D"/>
    <w:rsid w:val="00DF2FC2"/>
    <w:rsid w:val="00E05046"/>
    <w:rsid w:val="00E13A46"/>
    <w:rsid w:val="00E15962"/>
    <w:rsid w:val="00E36113"/>
    <w:rsid w:val="00E766F3"/>
    <w:rsid w:val="00E77A22"/>
    <w:rsid w:val="00E87D8C"/>
    <w:rsid w:val="00E91B06"/>
    <w:rsid w:val="00EA068C"/>
    <w:rsid w:val="00EA1169"/>
    <w:rsid w:val="00EA4968"/>
    <w:rsid w:val="00EA6308"/>
    <w:rsid w:val="00EA6811"/>
    <w:rsid w:val="00EA7995"/>
    <w:rsid w:val="00ED1B3B"/>
    <w:rsid w:val="00ED69C6"/>
    <w:rsid w:val="00EF0FC7"/>
    <w:rsid w:val="00EF3AA0"/>
    <w:rsid w:val="00F2373E"/>
    <w:rsid w:val="00F23F2B"/>
    <w:rsid w:val="00F260E4"/>
    <w:rsid w:val="00F26BA6"/>
    <w:rsid w:val="00F3069D"/>
    <w:rsid w:val="00F30B48"/>
    <w:rsid w:val="00F36666"/>
    <w:rsid w:val="00F403FE"/>
    <w:rsid w:val="00F60D3C"/>
    <w:rsid w:val="00F654F4"/>
    <w:rsid w:val="00FA1FFA"/>
    <w:rsid w:val="00FB18DE"/>
    <w:rsid w:val="00FC5652"/>
    <w:rsid w:val="00FD7831"/>
    <w:rsid w:val="00FE1211"/>
    <w:rsid w:val="00FE5688"/>
    <w:rsid w:val="00FE5C1B"/>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25CA"/>
  <w15:docId w15:val="{0FB03D67-9FDD-4250-8550-BC069BE1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B8"/>
    <w:pPr>
      <w:ind w:left="720"/>
      <w:contextualSpacing/>
    </w:pPr>
  </w:style>
  <w:style w:type="character" w:styleId="CommentReference">
    <w:name w:val="annotation reference"/>
    <w:basedOn w:val="DefaultParagraphFont"/>
    <w:uiPriority w:val="99"/>
    <w:semiHidden/>
    <w:unhideWhenUsed/>
    <w:rsid w:val="005D67EC"/>
    <w:rPr>
      <w:sz w:val="16"/>
      <w:szCs w:val="16"/>
    </w:rPr>
  </w:style>
  <w:style w:type="paragraph" w:styleId="CommentText">
    <w:name w:val="annotation text"/>
    <w:basedOn w:val="Normal"/>
    <w:link w:val="CommentTextChar"/>
    <w:uiPriority w:val="99"/>
    <w:semiHidden/>
    <w:unhideWhenUsed/>
    <w:rsid w:val="005D67EC"/>
    <w:pPr>
      <w:spacing w:line="240" w:lineRule="auto"/>
    </w:pPr>
    <w:rPr>
      <w:sz w:val="20"/>
      <w:szCs w:val="20"/>
    </w:rPr>
  </w:style>
  <w:style w:type="character" w:customStyle="1" w:styleId="CommentTextChar">
    <w:name w:val="Comment Text Char"/>
    <w:basedOn w:val="DefaultParagraphFont"/>
    <w:link w:val="CommentText"/>
    <w:uiPriority w:val="99"/>
    <w:semiHidden/>
    <w:rsid w:val="005D67EC"/>
    <w:rPr>
      <w:sz w:val="20"/>
      <w:szCs w:val="20"/>
    </w:rPr>
  </w:style>
  <w:style w:type="paragraph" w:styleId="CommentSubject">
    <w:name w:val="annotation subject"/>
    <w:basedOn w:val="CommentText"/>
    <w:next w:val="CommentText"/>
    <w:link w:val="CommentSubjectChar"/>
    <w:uiPriority w:val="99"/>
    <w:semiHidden/>
    <w:unhideWhenUsed/>
    <w:rsid w:val="005D67EC"/>
    <w:rPr>
      <w:b/>
      <w:bCs/>
    </w:rPr>
  </w:style>
  <w:style w:type="character" w:customStyle="1" w:styleId="CommentSubjectChar">
    <w:name w:val="Comment Subject Char"/>
    <w:basedOn w:val="CommentTextChar"/>
    <w:link w:val="CommentSubject"/>
    <w:uiPriority w:val="99"/>
    <w:semiHidden/>
    <w:rsid w:val="005D67EC"/>
    <w:rPr>
      <w:b/>
      <w:bCs/>
      <w:sz w:val="20"/>
      <w:szCs w:val="20"/>
    </w:rPr>
  </w:style>
  <w:style w:type="paragraph" w:styleId="BalloonText">
    <w:name w:val="Balloon Text"/>
    <w:basedOn w:val="Normal"/>
    <w:link w:val="BalloonTextChar"/>
    <w:uiPriority w:val="99"/>
    <w:semiHidden/>
    <w:unhideWhenUsed/>
    <w:rsid w:val="005D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EC"/>
    <w:rPr>
      <w:rFonts w:ascii="Tahoma" w:hAnsi="Tahoma" w:cs="Tahoma"/>
      <w:sz w:val="16"/>
      <w:szCs w:val="16"/>
    </w:rPr>
  </w:style>
  <w:style w:type="paragraph" w:styleId="Header">
    <w:name w:val="header"/>
    <w:basedOn w:val="Normal"/>
    <w:link w:val="HeaderChar"/>
    <w:uiPriority w:val="99"/>
    <w:unhideWhenUsed/>
    <w:rsid w:val="00222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A7"/>
  </w:style>
  <w:style w:type="paragraph" w:styleId="Footer">
    <w:name w:val="footer"/>
    <w:basedOn w:val="Normal"/>
    <w:link w:val="FooterChar"/>
    <w:uiPriority w:val="99"/>
    <w:unhideWhenUsed/>
    <w:rsid w:val="0022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A7"/>
  </w:style>
  <w:style w:type="character" w:styleId="Hyperlink">
    <w:name w:val="Hyperlink"/>
    <w:basedOn w:val="DefaultParagraphFont"/>
    <w:uiPriority w:val="99"/>
    <w:unhideWhenUsed/>
    <w:rsid w:val="00A8123E"/>
    <w:rPr>
      <w:color w:val="0000FF"/>
      <w:u w:val="single"/>
    </w:rPr>
  </w:style>
  <w:style w:type="table" w:styleId="TableGrid">
    <w:name w:val="Table Grid"/>
    <w:basedOn w:val="TableNormal"/>
    <w:uiPriority w:val="59"/>
    <w:rsid w:val="008F5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2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med.wsu.edu/innovative-education/teaching-academy/programs/educational-research-grant-intramural-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al.vetmed.wsu.edu/faculty-group/instructional-development/berger-keatts-seed-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tmed.wsu.edu/innovative-education/teaching-academy/programs/educational-research-grant-intramural-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11286</CharactersWithSpaces>
  <SharedDoc>false</SharedDoc>
  <HLinks>
    <vt:vector size="18" baseType="variant">
      <vt:variant>
        <vt:i4>7077915</vt:i4>
      </vt:variant>
      <vt:variant>
        <vt:i4>6</vt:i4>
      </vt:variant>
      <vt:variant>
        <vt:i4>0</vt:i4>
      </vt:variant>
      <vt:variant>
        <vt:i4>5</vt:i4>
      </vt:variant>
      <vt:variant>
        <vt:lpwstr>http://internal.vetmed.wsu.edu/research_opportunities/intramural.aspx</vt:lpwstr>
      </vt:variant>
      <vt:variant>
        <vt:lpwstr/>
      </vt:variant>
      <vt:variant>
        <vt:i4>4849727</vt:i4>
      </vt:variant>
      <vt:variant>
        <vt:i4>3</vt:i4>
      </vt:variant>
      <vt:variant>
        <vt:i4>0</vt:i4>
      </vt:variant>
      <vt:variant>
        <vt:i4>5</vt:i4>
      </vt:variant>
      <vt:variant>
        <vt:lpwstr>http://internal.vetmed.wsu.edu/research_opportunities/intramural.aspx</vt:lpwstr>
      </vt:variant>
      <vt:variant>
        <vt:lpwstr>GENERAL  GUIDELINES</vt:lpwstr>
      </vt:variant>
      <vt:variant>
        <vt:i4>720992</vt:i4>
      </vt:variant>
      <vt:variant>
        <vt:i4>0</vt:i4>
      </vt:variant>
      <vt:variant>
        <vt:i4>0</vt:i4>
      </vt:variant>
      <vt:variant>
        <vt:i4>5</vt:i4>
      </vt:variant>
      <vt:variant>
        <vt:lpwstr>mailto:rhalsey@vetmed.wsu.edu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dc:creator>
  <cp:lastModifiedBy>Hines, Steve</cp:lastModifiedBy>
  <cp:revision>4</cp:revision>
  <dcterms:created xsi:type="dcterms:W3CDTF">2018-03-20T16:56:00Z</dcterms:created>
  <dcterms:modified xsi:type="dcterms:W3CDTF">2018-04-09T23:32:00Z</dcterms:modified>
</cp:coreProperties>
</file>